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59928" w14:textId="45D6C309" w:rsidR="0074405B" w:rsidRDefault="0074405B" w:rsidP="0074405B">
      <w:pPr>
        <w:pStyle w:val="3GPPHeader"/>
        <w:spacing w:after="60"/>
        <w:rPr>
          <w:sz w:val="32"/>
          <w:szCs w:val="32"/>
          <w:highlight w:val="yellow"/>
        </w:rPr>
      </w:pPr>
      <w:r>
        <w:t>3GPP TSG-RAN WG2 #97</w:t>
      </w:r>
      <w:r>
        <w:tab/>
      </w:r>
      <w:r w:rsidR="00D70E73">
        <w:rPr>
          <w:sz w:val="32"/>
          <w:szCs w:val="32"/>
        </w:rPr>
        <w:t>Tdoc R2-17</w:t>
      </w:r>
      <w:r w:rsidR="00F43828" w:rsidRPr="00F43828">
        <w:rPr>
          <w:sz w:val="32"/>
          <w:szCs w:val="32"/>
        </w:rPr>
        <w:t>01606</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5B04FC2C" w:rsidR="00E90E49" w:rsidRPr="00F71C01" w:rsidRDefault="00E90E49" w:rsidP="00311702">
      <w:pPr>
        <w:pStyle w:val="3GPPHeader"/>
        <w:rPr>
          <w:sz w:val="22"/>
          <w:szCs w:val="22"/>
          <w:lang w:val="en-US"/>
        </w:rPr>
      </w:pPr>
      <w:r w:rsidRPr="00F71C01">
        <w:rPr>
          <w:sz w:val="22"/>
          <w:szCs w:val="22"/>
          <w:lang w:val="en-US"/>
        </w:rPr>
        <w:t>Agenda Item:</w:t>
      </w:r>
      <w:r w:rsidRPr="00F71C01">
        <w:rPr>
          <w:sz w:val="22"/>
          <w:szCs w:val="22"/>
          <w:lang w:val="en-US"/>
        </w:rPr>
        <w:tab/>
      </w:r>
      <w:r w:rsidR="00F43828" w:rsidRPr="00F71C01">
        <w:rPr>
          <w:sz w:val="22"/>
          <w:szCs w:val="22"/>
          <w:lang w:val="en-US"/>
        </w:rPr>
        <w:t>9.2.1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36CD008" w14:textId="7CFB3931" w:rsidR="002A0FE7" w:rsidRPr="00155EE4" w:rsidRDefault="003D3C45" w:rsidP="002A0FE7">
      <w:pPr>
        <w:pStyle w:val="3GPPHeader"/>
        <w:rPr>
          <w:sz w:val="22"/>
          <w:szCs w:val="22"/>
          <w:highlight w:val="yellow"/>
          <w:lang w:val="en-US"/>
        </w:rPr>
      </w:pPr>
      <w:r>
        <w:rPr>
          <w:sz w:val="22"/>
          <w:szCs w:val="22"/>
        </w:rPr>
        <w:t>Title:</w:t>
      </w:r>
      <w:r w:rsidR="00E90E49" w:rsidRPr="00CE0424">
        <w:rPr>
          <w:sz w:val="22"/>
          <w:szCs w:val="22"/>
        </w:rPr>
        <w:tab/>
      </w:r>
      <w:r w:rsidR="002A0FE7" w:rsidRPr="00F71C01">
        <w:rPr>
          <w:sz w:val="22"/>
          <w:szCs w:val="22"/>
          <w:lang w:val="en-US"/>
        </w:rPr>
        <w:t>HARQ processes with fallback, async</w:t>
      </w:r>
      <w:r w:rsidR="005D6323" w:rsidRPr="00F71C01">
        <w:rPr>
          <w:sz w:val="22"/>
          <w:szCs w:val="22"/>
          <w:lang w:val="en-US"/>
        </w:rPr>
        <w:t>hronous</w:t>
      </w:r>
      <w:r w:rsidR="002A0FE7" w:rsidRPr="00F71C01">
        <w:rPr>
          <w:sz w:val="22"/>
          <w:szCs w:val="22"/>
          <w:lang w:val="en-US"/>
        </w:rPr>
        <w:t xml:space="preserve"> to sync</w:t>
      </w:r>
      <w:r w:rsidR="00F43828" w:rsidRPr="00F71C01">
        <w:rPr>
          <w:sz w:val="22"/>
          <w:szCs w:val="22"/>
          <w:lang w:val="en-US"/>
        </w:rPr>
        <w:t>hronous</w:t>
      </w:r>
      <w:r w:rsidR="002A0FE7" w:rsidRPr="00F71C01">
        <w:rPr>
          <w:sz w:val="22"/>
          <w:szCs w:val="22"/>
          <w:lang w:val="en-US"/>
        </w:rPr>
        <w:t xml:space="preserve"> HARQ</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71C01">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3D262AB" w14:textId="35D4DADB" w:rsidR="00155EE4" w:rsidRDefault="00155EE4" w:rsidP="00155EE4">
      <w:pPr>
        <w:pStyle w:val="BodyText"/>
      </w:pPr>
      <w:r>
        <w:t xml:space="preserve">With </w:t>
      </w:r>
      <w:r w:rsidR="00530B82">
        <w:t xml:space="preserve">reduced processing time </w:t>
      </w:r>
      <w:r>
        <w:t xml:space="preserve">as currently defined in RAN1 </w:t>
      </w:r>
      <w:proofErr w:type="gramStart"/>
      <w:r>
        <w:t>according to</w:t>
      </w:r>
      <w:proofErr w:type="gramEnd"/>
      <w:r>
        <w:t xml:space="preserve"> </w:t>
      </w:r>
      <w:r>
        <w:fldChar w:fldCharType="begin"/>
      </w:r>
      <w:r>
        <w:instrText xml:space="preserve"> REF _Ref465262208 \r \h </w:instrText>
      </w:r>
      <w:r>
        <w:fldChar w:fldCharType="separate"/>
      </w:r>
      <w:r w:rsidR="007052CF">
        <w:t>[1]</w:t>
      </w:r>
      <w:r>
        <w:fldChar w:fldCharType="end"/>
      </w:r>
      <w:r>
        <w:t xml:space="preserve"> LTE latency in DL and UL is reduced by </w:t>
      </w:r>
      <w:r w:rsidR="00530B82">
        <w:t xml:space="preserve">reducing DL data to HARQ feedback time and UL grant to data time, each by 1 </w:t>
      </w:r>
      <w:proofErr w:type="spellStart"/>
      <w:r w:rsidR="00530B82">
        <w:t>ms</w:t>
      </w:r>
      <w:proofErr w:type="spellEnd"/>
      <w:r w:rsidR="00530B82">
        <w:t xml:space="preserve"> respectively</w:t>
      </w:r>
      <w:r>
        <w:t xml:space="preserve">. </w:t>
      </w:r>
      <w:r w:rsidR="00F5374A">
        <w:t xml:space="preserve">The following agreements have been reached </w:t>
      </w:r>
      <w:r w:rsidR="00530B82">
        <w:t>in RAN1</w:t>
      </w:r>
      <w:r>
        <w:t>:</w:t>
      </w:r>
      <w:r w:rsidR="000A1C81">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7"/>
      </w:tblGrid>
      <w:tr w:rsidR="00155EE4" w14:paraId="01B63073" w14:textId="77777777" w:rsidTr="005B7BE2">
        <w:tc>
          <w:tcPr>
            <w:tcW w:w="9567" w:type="dxa"/>
            <w:shd w:val="clear" w:color="auto" w:fill="auto"/>
          </w:tcPr>
          <w:p w14:paraId="69203873" w14:textId="77777777" w:rsidR="00155EE4" w:rsidRDefault="00155EE4" w:rsidP="005B7BE2">
            <w:pPr>
              <w:pStyle w:val="Doc-text2"/>
              <w:ind w:left="0" w:firstLine="0"/>
            </w:pPr>
            <w:proofErr w:type="spellStart"/>
            <w:r>
              <w:t>Agreements</w:t>
            </w:r>
            <w:proofErr w:type="spellEnd"/>
            <w:r>
              <w:t>:</w:t>
            </w:r>
          </w:p>
          <w:p w14:paraId="3AFEF8E2" w14:textId="77777777" w:rsidR="00530B82" w:rsidRPr="00A36C89" w:rsidRDefault="00530B82" w:rsidP="00530B82">
            <w:pPr>
              <w:numPr>
                <w:ilvl w:val="0"/>
                <w:numId w:val="14"/>
              </w:numPr>
              <w:overflowPunct/>
              <w:autoSpaceDE/>
              <w:autoSpaceDN/>
              <w:adjustRightInd/>
              <w:spacing w:after="0"/>
              <w:jc w:val="left"/>
              <w:textAlignment w:val="auto"/>
              <w:rPr>
                <w:rFonts w:eastAsia="MS Mincho"/>
                <w:lang w:val="en-US" w:eastAsia="ja-JP"/>
              </w:rPr>
            </w:pPr>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p w14:paraId="629ED82E" w14:textId="77777777" w:rsidR="00530B82" w:rsidRDefault="00530B82" w:rsidP="00530B82">
            <w:pPr>
              <w:numPr>
                <w:ilvl w:val="0"/>
                <w:numId w:val="14"/>
              </w:numPr>
              <w:overflowPunct/>
              <w:autoSpaceDE/>
              <w:autoSpaceDN/>
              <w:adjustRightInd/>
              <w:spacing w:after="0"/>
              <w:jc w:val="left"/>
              <w:textAlignment w:val="auto"/>
              <w:rPr>
                <w:rFonts w:eastAsia="MS Mincho"/>
                <w:lang w:val="en-US" w:eastAsia="ja-JP"/>
              </w:rPr>
            </w:pPr>
            <w:r w:rsidRPr="00530B82">
              <w:rPr>
                <w:rFonts w:eastAsia="MS Mincho"/>
                <w:lang w:val="en-US" w:eastAsia="ja-JP"/>
              </w:rPr>
              <w:t>Working assumption</w:t>
            </w:r>
            <w:r>
              <w:rPr>
                <w:rFonts w:eastAsia="MS Mincho"/>
                <w:lang w:val="en-US" w:eastAsia="ja-JP"/>
              </w:rPr>
              <w:t>: A mechanism for dynamic fallback to legacy processing timings</w:t>
            </w:r>
            <w:r w:rsidRPr="00A36C89">
              <w:rPr>
                <w:rFonts w:eastAsia="MS Mincho"/>
                <w:lang w:val="en-US" w:eastAsia="ja-JP"/>
              </w:rPr>
              <w:t xml:space="preserve"> (n+4)</w:t>
            </w:r>
            <w:r>
              <w:rPr>
                <w:rFonts w:eastAsia="MS Mincho"/>
                <w:lang w:val="en-US" w:eastAsia="ja-JP"/>
              </w:rPr>
              <w:t xml:space="preserve"> is supported</w:t>
            </w:r>
          </w:p>
          <w:p w14:paraId="02D85400" w14:textId="77777777" w:rsidR="00530B82" w:rsidRDefault="00530B82" w:rsidP="00530B82">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Details FFS</w:t>
            </w:r>
          </w:p>
          <w:p w14:paraId="401B3E12" w14:textId="705CAF4D" w:rsidR="00530B82" w:rsidRDefault="00530B82" w:rsidP="00530B82">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 xml:space="preserve">Working assumption can be revisited if it is not found to be feasible </w:t>
            </w:r>
          </w:p>
          <w:p w14:paraId="2D88F835" w14:textId="77777777" w:rsidR="00530B82" w:rsidRPr="00D95BB7" w:rsidRDefault="00530B82" w:rsidP="00530B82">
            <w:pPr>
              <w:numPr>
                <w:ilvl w:val="0"/>
                <w:numId w:val="14"/>
              </w:numPr>
              <w:overflowPunct/>
              <w:autoSpaceDE/>
              <w:autoSpaceDN/>
              <w:adjustRightInd/>
              <w:spacing w:after="0"/>
              <w:jc w:val="left"/>
              <w:textAlignment w:val="auto"/>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w:t>
            </w:r>
            <w:proofErr w:type="spellStart"/>
            <w:r w:rsidRPr="00D95BB7">
              <w:rPr>
                <w:rFonts w:eastAsia="MS Mincho"/>
                <w:lang w:eastAsia="ja-JP"/>
              </w:rPr>
              <w:t>ms</w:t>
            </w:r>
            <w:proofErr w:type="spellEnd"/>
            <w:r w:rsidRPr="00D95BB7">
              <w:rPr>
                <w:rFonts w:eastAsia="MS Mincho"/>
                <w:lang w:eastAsia="ja-JP"/>
              </w:rPr>
              <w:t xml:space="preserve"> TTI with shortened processing time </w:t>
            </w:r>
          </w:p>
          <w:p w14:paraId="7AA6DA79" w14:textId="77777777" w:rsidR="00530B82" w:rsidRPr="00D95BB7" w:rsidRDefault="00530B82" w:rsidP="00530B82">
            <w:pPr>
              <w:numPr>
                <w:ilvl w:val="1"/>
                <w:numId w:val="14"/>
              </w:numPr>
              <w:overflowPunct/>
              <w:autoSpaceDE/>
              <w:autoSpaceDN/>
              <w:adjustRightInd/>
              <w:spacing w:after="0"/>
              <w:jc w:val="left"/>
              <w:textAlignment w:val="auto"/>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6E185043" w14:textId="77777777" w:rsidR="00530B82" w:rsidRPr="00D95BB7" w:rsidRDefault="00530B82" w:rsidP="00530B82">
            <w:pPr>
              <w:numPr>
                <w:ilvl w:val="1"/>
                <w:numId w:val="14"/>
              </w:numPr>
              <w:overflowPunct/>
              <w:autoSpaceDE/>
              <w:autoSpaceDN/>
              <w:adjustRightInd/>
              <w:spacing w:after="0"/>
              <w:jc w:val="left"/>
              <w:textAlignment w:val="auto"/>
              <w:rPr>
                <w:rFonts w:eastAsia="MS Mincho"/>
                <w:lang w:val="en-US" w:eastAsia="ja-JP"/>
              </w:rPr>
            </w:pPr>
            <w:r w:rsidRPr="00D95BB7">
              <w:rPr>
                <w:rFonts w:eastAsia="MS Mincho"/>
                <w:lang w:eastAsia="ja-JP"/>
              </w:rPr>
              <w:t>No change in FS3 asynchronous UL HARQ operation</w:t>
            </w:r>
          </w:p>
          <w:p w14:paraId="2EBE184E" w14:textId="77777777" w:rsidR="00530B82" w:rsidRPr="00A36C89" w:rsidRDefault="00530B82" w:rsidP="00530B82">
            <w:pPr>
              <w:overflowPunct/>
              <w:autoSpaceDE/>
              <w:autoSpaceDN/>
              <w:adjustRightInd/>
              <w:spacing w:after="0"/>
              <w:jc w:val="left"/>
              <w:textAlignment w:val="auto"/>
              <w:rPr>
                <w:rFonts w:eastAsia="MS Mincho"/>
                <w:lang w:val="en-US" w:eastAsia="ja-JP"/>
              </w:rPr>
            </w:pPr>
          </w:p>
          <w:p w14:paraId="635FB6AB" w14:textId="77777777" w:rsidR="00530B82" w:rsidRPr="00AC259C" w:rsidRDefault="00530B82" w:rsidP="00530B82">
            <w:pPr>
              <w:numPr>
                <w:ilvl w:val="0"/>
                <w:numId w:val="14"/>
              </w:numPr>
              <w:overflowPunct/>
              <w:autoSpaceDE/>
              <w:autoSpaceDN/>
              <w:adjustRightInd/>
              <w:spacing w:after="0"/>
              <w:jc w:val="left"/>
              <w:textAlignment w:val="auto"/>
              <w:rPr>
                <w:rFonts w:eastAsia="MS Mincho"/>
                <w:u w:val="single"/>
                <w:lang w:val="en-US" w:eastAsia="ja-JP"/>
              </w:rPr>
            </w:pPr>
            <w:r>
              <w:rPr>
                <w:kern w:val="2"/>
              </w:rPr>
              <w:t xml:space="preserve">For 1 </w:t>
            </w:r>
            <w:proofErr w:type="spellStart"/>
            <w:r>
              <w:rPr>
                <w:kern w:val="2"/>
              </w:rPr>
              <w:t>ms</w:t>
            </w:r>
            <w:proofErr w:type="spellEnd"/>
            <w:r>
              <w:rPr>
                <w:kern w:val="2"/>
              </w:rPr>
              <w:t xml:space="preserve"> TTI shortened processing, s</w:t>
            </w:r>
            <w:r w:rsidRPr="00AC259C">
              <w:rPr>
                <w:kern w:val="2"/>
              </w:rPr>
              <w:t xml:space="preserve">upport </w:t>
            </w:r>
            <w:proofErr w:type="spellStart"/>
            <w:r w:rsidRPr="00AC259C">
              <w:rPr>
                <w:kern w:val="2"/>
              </w:rPr>
              <w:t>fallback</w:t>
            </w:r>
            <w:proofErr w:type="spellEnd"/>
            <w:r w:rsidRPr="00AC259C">
              <w:rPr>
                <w:kern w:val="2"/>
              </w:rPr>
              <w:t xml:space="preserve"> </w:t>
            </w:r>
            <w:r w:rsidRPr="00AC259C">
              <w:rPr>
                <w:rFonts w:hint="eastAsia"/>
                <w:kern w:val="2"/>
              </w:rPr>
              <w:t xml:space="preserve">to </w:t>
            </w:r>
            <w:r w:rsidRPr="00AC259C">
              <w:rPr>
                <w:kern w:val="2"/>
              </w:rPr>
              <w:t>legacy processing timing n+4 by the search space, i.e</w:t>
            </w:r>
            <w:r>
              <w:rPr>
                <w:kern w:val="2"/>
              </w:rPr>
              <w:t>.</w:t>
            </w:r>
            <w:r w:rsidRPr="00AC259C">
              <w:rPr>
                <w:kern w:val="2"/>
              </w:rPr>
              <w:t xml:space="preserve">  D</w:t>
            </w:r>
            <w:r>
              <w:rPr>
                <w:kern w:val="2"/>
              </w:rPr>
              <w:t>CI for processing time n+3</w:t>
            </w:r>
            <w:r w:rsidRPr="00AC259C">
              <w:rPr>
                <w:kern w:val="2"/>
              </w:rPr>
              <w:t xml:space="preserve"> are carried in USS of PDCCH and DCI for processing time n+4 are carried in CSS of PDCCH.</w:t>
            </w:r>
          </w:p>
          <w:p w14:paraId="69EF9F87" w14:textId="77777777" w:rsidR="00530B82" w:rsidRPr="00AC259C" w:rsidRDefault="00530B82" w:rsidP="00530B82">
            <w:pPr>
              <w:numPr>
                <w:ilvl w:val="1"/>
                <w:numId w:val="14"/>
              </w:numPr>
              <w:overflowPunct/>
              <w:autoSpaceDE/>
              <w:autoSpaceDN/>
              <w:adjustRightInd/>
              <w:spacing w:after="0"/>
              <w:jc w:val="left"/>
              <w:textAlignment w:val="auto"/>
              <w:rPr>
                <w:rFonts w:eastAsia="MS Mincho"/>
                <w:u w:val="single"/>
                <w:lang w:val="en-US" w:eastAsia="ja-JP"/>
              </w:rPr>
            </w:pPr>
            <w:r>
              <w:rPr>
                <w:kern w:val="2"/>
              </w:rPr>
              <w:t>For PDSCH t</w:t>
            </w:r>
            <w:r w:rsidRPr="00AC259C">
              <w:rPr>
                <w:kern w:val="2"/>
              </w:rPr>
              <w:t xml:space="preserve">he HARQ processes of n+3 1ms TTI and n+4 1ms TTI </w:t>
            </w:r>
            <w:r>
              <w:rPr>
                <w:kern w:val="2"/>
              </w:rPr>
              <w:t>are</w:t>
            </w:r>
            <w:r w:rsidRPr="00AC259C">
              <w:rPr>
                <w:kern w:val="2"/>
              </w:rPr>
              <w:t xml:space="preserve"> shared</w:t>
            </w:r>
          </w:p>
          <w:p w14:paraId="28C7DCFB" w14:textId="77777777" w:rsidR="00530B82" w:rsidRPr="009E3F6D" w:rsidRDefault="00530B82" w:rsidP="00530B82">
            <w:pPr>
              <w:numPr>
                <w:ilvl w:val="1"/>
                <w:numId w:val="14"/>
              </w:numPr>
              <w:overflowPunct/>
              <w:autoSpaceDE/>
              <w:autoSpaceDN/>
              <w:adjustRightInd/>
              <w:spacing w:after="0"/>
              <w:jc w:val="left"/>
              <w:textAlignment w:val="auto"/>
              <w:rPr>
                <w:rFonts w:eastAsia="MS Mincho"/>
                <w:u w:val="single"/>
                <w:lang w:val="en-US" w:eastAsia="ja-JP"/>
              </w:rPr>
            </w:pPr>
            <w:r>
              <w:rPr>
                <w:kern w:val="2"/>
              </w:rPr>
              <w:t xml:space="preserve">FFS: Possible PUSCH </w:t>
            </w:r>
            <w:r w:rsidRPr="00AC259C">
              <w:rPr>
                <w:kern w:val="2"/>
              </w:rPr>
              <w:t>HARQ processes</w:t>
            </w:r>
            <w:r>
              <w:rPr>
                <w:kern w:val="2"/>
              </w:rPr>
              <w:t xml:space="preserve"> sharing between</w:t>
            </w:r>
            <w:r w:rsidRPr="00AC259C">
              <w:rPr>
                <w:kern w:val="2"/>
              </w:rPr>
              <w:t xml:space="preserve"> n+3 1ms TTI and n+4 1ms TTI</w:t>
            </w:r>
          </w:p>
          <w:p w14:paraId="41E0474F" w14:textId="3CD1BBB0" w:rsidR="00EA45E3" w:rsidRPr="00554A95" w:rsidRDefault="00530B82" w:rsidP="00EA45E3">
            <w:pPr>
              <w:numPr>
                <w:ilvl w:val="1"/>
                <w:numId w:val="14"/>
              </w:numPr>
              <w:overflowPunct/>
              <w:autoSpaceDE/>
              <w:autoSpaceDN/>
              <w:adjustRightInd/>
              <w:spacing w:after="0"/>
              <w:jc w:val="left"/>
              <w:textAlignment w:val="auto"/>
              <w:rPr>
                <w:rFonts w:eastAsia="MS Mincho"/>
                <w:u w:val="single"/>
                <w:lang w:val="en-US" w:eastAsia="ja-JP"/>
              </w:rPr>
            </w:pPr>
            <w:r>
              <w:rPr>
                <w:kern w:val="2"/>
              </w:rPr>
              <w:t>FFS: UE behaviour in case of n+3 and n+4 collision</w:t>
            </w:r>
          </w:p>
          <w:p w14:paraId="551A227B" w14:textId="10C2EC63" w:rsidR="00554A95" w:rsidRPr="00EA45E3" w:rsidRDefault="00554A95" w:rsidP="00EA45E3">
            <w:pPr>
              <w:numPr>
                <w:ilvl w:val="1"/>
                <w:numId w:val="14"/>
              </w:numPr>
              <w:overflowPunct/>
              <w:autoSpaceDE/>
              <w:autoSpaceDN/>
              <w:adjustRightInd/>
              <w:spacing w:after="0"/>
              <w:jc w:val="left"/>
              <w:textAlignment w:val="auto"/>
              <w:rPr>
                <w:rFonts w:eastAsia="MS Mincho"/>
                <w:u w:val="single"/>
                <w:lang w:val="en-US" w:eastAsia="ja-JP"/>
              </w:rPr>
            </w:pPr>
            <w:r>
              <w:rPr>
                <w:kern w:val="2"/>
              </w:rPr>
              <w:t>Note: It is not expected that the eNB will often change between n+3 and n+4 scheduling timing</w:t>
            </w:r>
          </w:p>
          <w:p w14:paraId="4C72816F" w14:textId="77777777" w:rsidR="00530B82" w:rsidRPr="00155EE4" w:rsidRDefault="00530B82" w:rsidP="007B6B7C">
            <w:pPr>
              <w:pStyle w:val="Doc-text2"/>
              <w:tabs>
                <w:tab w:val="clear" w:pos="1622"/>
                <w:tab w:val="left" w:pos="1080"/>
              </w:tabs>
              <w:rPr>
                <w:bCs/>
                <w:noProof/>
                <w:lang w:val="en-US"/>
              </w:rPr>
            </w:pPr>
          </w:p>
          <w:p w14:paraId="1C40EC4E" w14:textId="77777777" w:rsidR="00155EE4" w:rsidRPr="00155EE4" w:rsidRDefault="00155EE4" w:rsidP="005B7BE2">
            <w:pPr>
              <w:pStyle w:val="Doc-text2"/>
              <w:ind w:left="0" w:firstLine="0"/>
              <w:rPr>
                <w:lang w:val="en-US"/>
              </w:rPr>
            </w:pPr>
          </w:p>
        </w:tc>
      </w:tr>
    </w:tbl>
    <w:p w14:paraId="456D6386" w14:textId="77777777" w:rsidR="00155EE4" w:rsidRDefault="00155EE4" w:rsidP="00155EE4">
      <w:pPr>
        <w:pStyle w:val="BodyText"/>
      </w:pPr>
    </w:p>
    <w:p w14:paraId="108FEAEB" w14:textId="66ADA269" w:rsidR="00155EE4" w:rsidRPr="00CE0424" w:rsidRDefault="00155EE4" w:rsidP="00155EE4">
      <w:pPr>
        <w:pStyle w:val="BodyText"/>
      </w:pPr>
      <w:r>
        <w:t>In this contribution, we discuss</w:t>
      </w:r>
      <w:r w:rsidR="00530B82">
        <w:t xml:space="preserve"> the </w:t>
      </w:r>
      <w:proofErr w:type="spellStart"/>
      <w:r w:rsidR="00530B82">
        <w:t>fallback</w:t>
      </w:r>
      <w:proofErr w:type="spellEnd"/>
      <w:r w:rsidR="00530B82">
        <w:t xml:space="preserve"> solution from n+3 to n+4 and propose a method to handle HARQ transition from </w:t>
      </w:r>
      <w:r w:rsidR="00786D67">
        <w:t>asynchronous UL</w:t>
      </w:r>
      <w:r w:rsidR="00530B82">
        <w:t xml:space="preserve"> to </w:t>
      </w:r>
      <w:r w:rsidR="00786D67">
        <w:t>synchronous UL</w:t>
      </w:r>
      <w:r w:rsidR="00D814C0">
        <w:t xml:space="preserve"> operation</w:t>
      </w:r>
      <w:r w:rsidR="00530B82">
        <w:t xml:space="preserve">. </w:t>
      </w:r>
    </w:p>
    <w:p w14:paraId="5DD7B1D9" w14:textId="77777777" w:rsidR="00D3005B" w:rsidRPr="00CE0424" w:rsidRDefault="00D3005B" w:rsidP="00CE0424">
      <w:pPr>
        <w:pStyle w:val="BodyText"/>
      </w:pPr>
    </w:p>
    <w:p w14:paraId="36CEC7B2" w14:textId="52DF50EC" w:rsidR="001643A8" w:rsidRDefault="004000E8" w:rsidP="00CE0424">
      <w:pPr>
        <w:pStyle w:val="Heading1"/>
      </w:pPr>
      <w:bookmarkStart w:id="0" w:name="_Ref178064866"/>
      <w:r w:rsidRPr="00CE0424">
        <w:t>Discussion</w:t>
      </w:r>
      <w:bookmarkEnd w:id="0"/>
    </w:p>
    <w:p w14:paraId="617A008C" w14:textId="77777777" w:rsidR="006D2996" w:rsidRDefault="00977D77" w:rsidP="00F11148">
      <w:r>
        <w:t xml:space="preserve">Assuming a UE has been configured with reduced processing time, i.e. n+3 timing, there will be situations where the eNB </w:t>
      </w:r>
      <w:r w:rsidR="006D2996">
        <w:t>should</w:t>
      </w:r>
      <w:r>
        <w:t xml:space="preserve"> initiate a RRC reconfiguration. An example of such situation is </w:t>
      </w:r>
      <w:r w:rsidR="006D2996">
        <w:t>when the</w:t>
      </w:r>
      <w:r>
        <w:t xml:space="preserve"> UE is</w:t>
      </w:r>
      <w:r w:rsidR="00936090">
        <w:t xml:space="preserve"> moving away from the eNB towards the cell edge</w:t>
      </w:r>
      <w:r>
        <w:t xml:space="preserve"> in a large cell. Since the n+3 operation has a lower maximum timing alignment (TA) than n+4 operation </w:t>
      </w:r>
      <w:r w:rsidR="00936090">
        <w:t xml:space="preserve">a </w:t>
      </w:r>
      <w:r>
        <w:t>RRC reconfiguration o</w:t>
      </w:r>
      <w:r w:rsidR="0014232C">
        <w:t>f</w:t>
      </w:r>
      <w:r>
        <w:t xml:space="preserve"> the processing time </w:t>
      </w:r>
      <w:r w:rsidR="00936090">
        <w:t xml:space="preserve">from n+3 to n+4 </w:t>
      </w:r>
      <w:r>
        <w:t>is required</w:t>
      </w:r>
      <w:r w:rsidR="00936090">
        <w:t xml:space="preserve">. </w:t>
      </w:r>
    </w:p>
    <w:p w14:paraId="194E8AB3" w14:textId="77777777" w:rsidR="006D2996" w:rsidRDefault="00977D77" w:rsidP="00F11148">
      <w:r>
        <w:lastRenderedPageBreak/>
        <w:t>Another example where the eNB wants to initiate a RRC reconfiguration while operating with the n+3 timing is if the transmission mode is changed, e.g. from CRS based transmission mode like TM 4 to a DMRS based transmission mode like TM9.</w:t>
      </w:r>
      <w:r w:rsidRPr="00977D77">
        <w:t xml:space="preserve"> </w:t>
      </w:r>
    </w:p>
    <w:p w14:paraId="429EDB3A" w14:textId="23C161B6" w:rsidR="002336C4" w:rsidRDefault="00977D77" w:rsidP="00F11148">
      <w:r>
        <w:t>When the eNB sends a RRC reconfiguration</w:t>
      </w:r>
      <w:r w:rsidR="006D2996">
        <w:t>,</w:t>
      </w:r>
      <w:r>
        <w:t xml:space="preserve"> the exact period until the UE has applied the reconfiguration is unknown to the eNB. Only the maximum duration is specified but not the exact time. During this period eNB cannot know what state the UE is in, and therefore should </w:t>
      </w:r>
      <w:r w:rsidR="006D2996">
        <w:t>fall-back</w:t>
      </w:r>
      <w:r>
        <w:t xml:space="preserve"> to scheduling the UE on the common search space (CSS) where only n+4 scheduling is possible</w:t>
      </w:r>
      <w:r w:rsidR="002F51B1">
        <w:t xml:space="preserve"> with synchronous HARQ in UL</w:t>
      </w:r>
      <w:r>
        <w:t xml:space="preserve">. </w:t>
      </w:r>
      <w:r w:rsidR="005E4606">
        <w:t>This is also m</w:t>
      </w:r>
      <w:r>
        <w:t>ention</w:t>
      </w:r>
      <w:r w:rsidR="005E4606">
        <w:t>e</w:t>
      </w:r>
      <w:r>
        <w:t>d in the last main bullet of the RAN1 agreement copied above: “</w:t>
      </w:r>
      <w:r w:rsidRPr="00AC259C">
        <w:rPr>
          <w:kern w:val="2"/>
        </w:rPr>
        <w:t>D</w:t>
      </w:r>
      <w:r>
        <w:rPr>
          <w:kern w:val="2"/>
        </w:rPr>
        <w:t>CI for processing time n+3</w:t>
      </w:r>
      <w:r w:rsidRPr="00AC259C">
        <w:rPr>
          <w:kern w:val="2"/>
        </w:rPr>
        <w:t xml:space="preserve"> are carried in USS of PDCCH and DCI for processing time n+4 are carried in CSS of PDCCH</w:t>
      </w:r>
      <w:r>
        <w:t>”.</w:t>
      </w:r>
      <w:r w:rsidR="00E21A37">
        <w:t xml:space="preserve"> </w:t>
      </w:r>
      <w:r w:rsidR="00E21A37">
        <w:t>In other words, i</w:t>
      </w:r>
      <w:r w:rsidR="002336C4">
        <w:t xml:space="preserve">f a UE is scheduled in the common search space, it will operate in legacy n+4, while scheduled in the User-specific search space, the reduced processing time n+3 scheduling can be applied. </w:t>
      </w:r>
    </w:p>
    <w:p w14:paraId="3AE3C4CB" w14:textId="57B266C7" w:rsidR="00D64204" w:rsidRDefault="00D64204" w:rsidP="00F11148">
      <w:r>
        <w:t>It is also good to highlight the note that is part of the RAN1 agreement copied above for convenience: “</w:t>
      </w:r>
      <w:r w:rsidRPr="00D64204">
        <w:t>Note: It is not expected that the eNB will often change between n+3 and n+4 scheduling timing</w:t>
      </w:r>
      <w:r>
        <w:t xml:space="preserve">”. Switching from n+3 to n+4 operation is a </w:t>
      </w:r>
      <w:r w:rsidR="006D2996">
        <w:t>fall-back</w:t>
      </w:r>
      <w:r>
        <w:t xml:space="preserve"> mechanism expected to occur rarely.</w:t>
      </w:r>
    </w:p>
    <w:p w14:paraId="2F01D086" w14:textId="6D081771" w:rsidR="00F11148" w:rsidRDefault="00786D67" w:rsidP="00F11148">
      <w:r>
        <w:t xml:space="preserve">For </w:t>
      </w:r>
      <w:r w:rsidR="006D2996">
        <w:t>fall-back</w:t>
      </w:r>
      <w:r>
        <w:t xml:space="preserve"> from n+3 to n+4 with synchronous UL HARQ we should consider </w:t>
      </w:r>
      <w:r w:rsidR="00254590">
        <w:t xml:space="preserve">before and after the switch </w:t>
      </w:r>
    </w:p>
    <w:p w14:paraId="6C927F31" w14:textId="77777777" w:rsidR="00786D67" w:rsidRDefault="00786D67" w:rsidP="00786D67">
      <w:pPr>
        <w:pStyle w:val="ListParagraph"/>
        <w:numPr>
          <w:ilvl w:val="0"/>
          <w:numId w:val="18"/>
        </w:numPr>
      </w:pPr>
      <w:r>
        <w:t xml:space="preserve">HARQ process number. Addressing all HPs that were sent in a different mode </w:t>
      </w:r>
    </w:p>
    <w:p w14:paraId="4B2659CF" w14:textId="02EF623C" w:rsidR="00786D67" w:rsidRDefault="00786D67" w:rsidP="00786D67">
      <w:pPr>
        <w:pStyle w:val="ListParagraph"/>
        <w:numPr>
          <w:ilvl w:val="0"/>
          <w:numId w:val="18"/>
        </w:numPr>
      </w:pPr>
      <w:r>
        <w:t xml:space="preserve">DL assignments and DL data </w:t>
      </w:r>
    </w:p>
    <w:p w14:paraId="19504054" w14:textId="5391F6D3" w:rsidR="00786D67" w:rsidRDefault="00786D67" w:rsidP="00786D67">
      <w:pPr>
        <w:pStyle w:val="ListParagraph"/>
        <w:numPr>
          <w:ilvl w:val="0"/>
          <w:numId w:val="18"/>
        </w:numPr>
      </w:pPr>
      <w:r>
        <w:t>HARQ feedback for DL data</w:t>
      </w:r>
      <w:r w:rsidR="00254590">
        <w:t xml:space="preserve"> </w:t>
      </w:r>
    </w:p>
    <w:p w14:paraId="36C0A019" w14:textId="7FC240C2" w:rsidR="00786D67" w:rsidRDefault="00786D67" w:rsidP="00786D67">
      <w:pPr>
        <w:pStyle w:val="ListParagraph"/>
        <w:numPr>
          <w:ilvl w:val="0"/>
          <w:numId w:val="18"/>
        </w:numPr>
      </w:pPr>
      <w:r>
        <w:t>UL grants and UL da</w:t>
      </w:r>
      <w:r w:rsidR="00254590">
        <w:t xml:space="preserve">ta </w:t>
      </w:r>
    </w:p>
    <w:p w14:paraId="16CAA0CC" w14:textId="5A3B57B3" w:rsidR="00786D67" w:rsidRDefault="00786D67" w:rsidP="00786D67">
      <w:pPr>
        <w:pStyle w:val="ListParagraph"/>
        <w:numPr>
          <w:ilvl w:val="0"/>
          <w:numId w:val="18"/>
        </w:numPr>
      </w:pPr>
      <w:r>
        <w:t xml:space="preserve">HARQ feedback for UL data </w:t>
      </w:r>
    </w:p>
    <w:p w14:paraId="753A39EC" w14:textId="77777777" w:rsidR="00786D67" w:rsidRDefault="00786D67" w:rsidP="00F11148"/>
    <w:p w14:paraId="282CA9AA" w14:textId="12DB9950" w:rsidR="00F11148" w:rsidRDefault="00F11148" w:rsidP="00F11148">
      <w:pPr>
        <w:pStyle w:val="Heading2"/>
      </w:pPr>
      <w:r>
        <w:t xml:space="preserve">HARQ process numbers </w:t>
      </w:r>
    </w:p>
    <w:p w14:paraId="1DE02650" w14:textId="4D85ED80" w:rsidR="00786D67" w:rsidRDefault="00FD0F34" w:rsidP="00786D67">
      <w:r>
        <w:t xml:space="preserve">As </w:t>
      </w:r>
      <w:r w:rsidR="00786D67">
        <w:t>noted</w:t>
      </w:r>
      <w:r>
        <w:t xml:space="preserve"> in the companion paper </w:t>
      </w:r>
      <w:r>
        <w:fldChar w:fldCharType="begin"/>
      </w:r>
      <w:r>
        <w:instrText xml:space="preserve"> REF _Ref473149326 \r \h </w:instrText>
      </w:r>
      <w:r>
        <w:fldChar w:fldCharType="separate"/>
      </w:r>
      <w:r w:rsidR="007052CF">
        <w:t>[2]</w:t>
      </w:r>
      <w:r>
        <w:fldChar w:fldCharType="end"/>
      </w:r>
      <w:r>
        <w:t xml:space="preserve">, </w:t>
      </w:r>
      <w:r w:rsidR="00786D67">
        <w:t xml:space="preserve">if the </w:t>
      </w:r>
      <w:r w:rsidR="00254590">
        <w:t xml:space="preserve">HARQ process number </w:t>
      </w:r>
      <w:r w:rsidR="00786D67">
        <w:t>uses only three bits in n+4 and n+3 uses four bits, then 16</w:t>
      </w:r>
      <w:r w:rsidR="00254590">
        <w:t xml:space="preserve"> n+3</w:t>
      </w:r>
      <w:r w:rsidR="00786D67">
        <w:t xml:space="preserve"> HPs numbered from 0 to 15 need to be mapped onto 8 </w:t>
      </w:r>
      <w:r w:rsidR="00254590">
        <w:t xml:space="preserve">n+4 </w:t>
      </w:r>
      <w:r w:rsidR="00786D67">
        <w:t xml:space="preserve">HPs numbered 0 to 7. </w:t>
      </w:r>
    </w:p>
    <w:p w14:paraId="0B318F16" w14:textId="579F411E" w:rsidR="00786D67" w:rsidRDefault="00786D67" w:rsidP="00786D67">
      <w:r>
        <w:t>For example</w:t>
      </w:r>
      <w:r w:rsidR="001649E8">
        <w:t>, in FDD</w:t>
      </w:r>
      <w:r>
        <w:t xml:space="preserve">, we can split 16 HPs of </w:t>
      </w:r>
      <w:r w:rsidR="0053365D">
        <w:t xml:space="preserve">n+3 </w:t>
      </w:r>
      <w:r>
        <w:t xml:space="preserve">in to two groups and for retransmissions after a switch map HPs 0-7 to n+4 HP 0-7 </w:t>
      </w:r>
      <w:r w:rsidR="00F75A64">
        <w:t>every even HARQ RTT</w:t>
      </w:r>
      <w:r>
        <w:t xml:space="preserve"> and map </w:t>
      </w:r>
      <w:r w:rsidR="0053365D">
        <w:t xml:space="preserve">n+3 </w:t>
      </w:r>
      <w:r>
        <w:t>HPs 8-15 to n+</w:t>
      </w:r>
      <w:r w:rsidR="0053365D">
        <w:t>4</w:t>
      </w:r>
      <w:r>
        <w:t xml:space="preserve"> HP 0-7</w:t>
      </w:r>
      <w:r w:rsidR="00F75A64">
        <w:t xml:space="preserve"> every odd HARQ RTT</w:t>
      </w:r>
      <w:r>
        <w:t xml:space="preserve">. This </w:t>
      </w:r>
      <w:r w:rsidR="000A11A2">
        <w:t>will</w:t>
      </w:r>
      <w:r>
        <w:t xml:space="preserve"> result in extra delay if a retransmission must wait until the next SFN. </w:t>
      </w:r>
    </w:p>
    <w:p w14:paraId="2ABF9D1D" w14:textId="203AEA9E" w:rsidR="001649E8" w:rsidRDefault="00F5374A" w:rsidP="00786D67">
      <w:r>
        <w:t xml:space="preserve">Even if n+3 can have up to 16 HPs, only six </w:t>
      </w:r>
      <w:r w:rsidR="0053365D">
        <w:t xml:space="preserve">is needed </w:t>
      </w:r>
      <w:r>
        <w:t xml:space="preserve">for continuous transmissions. We can thus choose to map HP numbers 0 to 7 of n+3 (though in most cases only six of them will be in use) to HP number 0 to 7 of n+4, and the HP numbers 8 to 15 of n+3 can be flushed at the switch. Smart handling in the eNB will minimize the risk of flushing HARQ data. </w:t>
      </w:r>
      <w:r w:rsidR="00786D67">
        <w:t xml:space="preserve">The n+4 operation is synchronous in UL, thus </w:t>
      </w:r>
      <w:r w:rsidR="005D1AC4">
        <w:t>one</w:t>
      </w:r>
      <w:r w:rsidR="00786D67">
        <w:t xml:space="preserve"> </w:t>
      </w:r>
      <w:r w:rsidR="00254590">
        <w:t>must</w:t>
      </w:r>
      <w:r w:rsidR="00786D67">
        <w:t xml:space="preserve"> connect the </w:t>
      </w:r>
      <w:r>
        <w:t xml:space="preserve">HARQ process number </w:t>
      </w:r>
      <w:r w:rsidR="00786D67">
        <w:t xml:space="preserve">to the SFN and subframe number </w:t>
      </w:r>
      <w:r w:rsidR="001649E8">
        <w:t xml:space="preserve">as noted in </w:t>
      </w:r>
      <w:r w:rsidR="001649E8">
        <w:fldChar w:fldCharType="begin"/>
      </w:r>
      <w:r w:rsidR="001649E8">
        <w:instrText xml:space="preserve"> REF _Ref473884183 \w \h </w:instrText>
      </w:r>
      <w:r w:rsidR="001649E8">
        <w:fldChar w:fldCharType="separate"/>
      </w:r>
      <w:r w:rsidR="007052CF">
        <w:t>[3]</w:t>
      </w:r>
      <w:r w:rsidR="001649E8">
        <w:fldChar w:fldCharType="end"/>
      </w:r>
      <w:r w:rsidR="001649E8">
        <w:t xml:space="preserve">: </w:t>
      </w:r>
    </w:p>
    <w:p w14:paraId="2D6FDA71" w14:textId="032275F9" w:rsidR="001649E8" w:rsidRPr="00F71C01" w:rsidRDefault="001649E8" w:rsidP="00786D67">
      <w:pPr>
        <w:rPr>
          <w:i/>
        </w:rPr>
      </w:pPr>
      <w:proofErr w:type="spellStart"/>
      <w:r w:rsidRPr="00F71C01">
        <w:rPr>
          <w:i/>
        </w:rPr>
        <w:t>HARQ_Process_ID</w:t>
      </w:r>
      <w:proofErr w:type="spellEnd"/>
      <w:r w:rsidRPr="00F71C01">
        <w:rPr>
          <w:i/>
        </w:rPr>
        <w:t xml:space="preserve"> = [SFN * </w:t>
      </w:r>
      <w:proofErr w:type="spellStart"/>
      <w:r w:rsidRPr="00F71C01">
        <w:rPr>
          <w:i/>
        </w:rPr>
        <w:t>number_of_UL_SFs_per_radio_frame</w:t>
      </w:r>
      <w:proofErr w:type="spellEnd"/>
      <w:r w:rsidRPr="00F71C01">
        <w:rPr>
          <w:i/>
        </w:rPr>
        <w:t xml:space="preserve"> + </w:t>
      </w:r>
      <w:proofErr w:type="spellStart"/>
      <w:r w:rsidRPr="00F71C01">
        <w:rPr>
          <w:i/>
        </w:rPr>
        <w:t>index_of_UL_SF</w:t>
      </w:r>
      <w:proofErr w:type="spellEnd"/>
      <w:r w:rsidRPr="00F71C01">
        <w:rPr>
          <w:i/>
        </w:rPr>
        <w:t xml:space="preserve">] modulo </w:t>
      </w:r>
      <w:proofErr w:type="spellStart"/>
      <w:r w:rsidRPr="00F71C01">
        <w:rPr>
          <w:i/>
        </w:rPr>
        <w:t>number_of_UL_HARQ_processes</w:t>
      </w:r>
      <w:proofErr w:type="spellEnd"/>
    </w:p>
    <w:p w14:paraId="71B7CB26" w14:textId="31E68CD5" w:rsidR="008A3797" w:rsidRDefault="008A3797" w:rsidP="00786D67">
      <w:r>
        <w:t xml:space="preserve">where </w:t>
      </w:r>
      <w:proofErr w:type="spellStart"/>
      <w:r w:rsidRPr="00F71C01">
        <w:rPr>
          <w:i/>
        </w:rPr>
        <w:t>index_of_UL_SF</w:t>
      </w:r>
      <w:proofErr w:type="spellEnd"/>
      <w:r>
        <w:t xml:space="preserve"> is equal to </w:t>
      </w:r>
      <w:r w:rsidRPr="00F71C01">
        <w:rPr>
          <w:i/>
        </w:rPr>
        <w:t>n-1</w:t>
      </w:r>
      <w:r>
        <w:t xml:space="preserve"> for the </w:t>
      </w:r>
      <w:proofErr w:type="spellStart"/>
      <w:r w:rsidRPr="00F71C01">
        <w:rPr>
          <w:i/>
        </w:rPr>
        <w:t>n</w:t>
      </w:r>
      <w:r>
        <w:t>:th</w:t>
      </w:r>
      <w:proofErr w:type="spellEnd"/>
      <w:r>
        <w:t xml:space="preserve"> UL subframe within a radio frame, and </w:t>
      </w:r>
      <w:proofErr w:type="spellStart"/>
      <w:r w:rsidRPr="000F6742">
        <w:rPr>
          <w:i/>
        </w:rPr>
        <w:t>number_of_UL_SFs_per_radio_frame</w:t>
      </w:r>
      <w:proofErr w:type="spellEnd"/>
      <w:r>
        <w:t xml:space="preserve"> and </w:t>
      </w:r>
      <w:proofErr w:type="spellStart"/>
      <w:r w:rsidRPr="000F6742">
        <w:rPr>
          <w:i/>
        </w:rPr>
        <w:t>number_of_UL_HARQ_processes</w:t>
      </w:r>
      <w:proofErr w:type="spellEnd"/>
      <w:r>
        <w:t xml:space="preserve"> is dependent on the frame structure and the UL/DL configuration</w:t>
      </w:r>
      <w:r w:rsidR="002336C4">
        <w:t xml:space="preserve">, and </w:t>
      </w:r>
      <w:proofErr w:type="spellStart"/>
      <w:r w:rsidR="002336C4" w:rsidRPr="000F6742">
        <w:rPr>
          <w:i/>
        </w:rPr>
        <w:t>number_of_UL_HARQ_processes</w:t>
      </w:r>
      <w:proofErr w:type="spellEnd"/>
      <w:r w:rsidR="002336C4">
        <w:t xml:space="preserve"> is when scheduled in n+4</w:t>
      </w:r>
      <w:r>
        <w:t>.</w:t>
      </w:r>
      <w:r w:rsidR="00D42CE6">
        <w:t xml:space="preserve"> </w:t>
      </w:r>
      <w:r w:rsidR="00A56327">
        <w:t xml:space="preserve">Special considerations are needed when wrapping SFN from 1023 to 0 in TDD configuration 0. </w:t>
      </w:r>
    </w:p>
    <w:p w14:paraId="0397B26D" w14:textId="77777777" w:rsidR="00D42CE6" w:rsidRDefault="00D42CE6" w:rsidP="00D42CE6">
      <w:pPr>
        <w:pStyle w:val="Observation"/>
      </w:pPr>
      <w:bookmarkStart w:id="1" w:name="_Toc473742154"/>
      <w:bookmarkStart w:id="2" w:name="_Toc473749910"/>
      <w:bookmarkStart w:id="3" w:name="_Toc473750819"/>
      <w:bookmarkStart w:id="4" w:name="_Toc473817491"/>
      <w:bookmarkStart w:id="5" w:name="_Toc473885460"/>
      <w:bookmarkStart w:id="6" w:name="_Toc473885603"/>
      <w:bookmarkStart w:id="7" w:name="_Toc473889516"/>
      <w:bookmarkStart w:id="8" w:name="_Toc473907927"/>
      <w:bookmarkStart w:id="9" w:name="_Toc473908107"/>
      <w:bookmarkStart w:id="10" w:name="_Toc473908239"/>
      <w:bookmarkStart w:id="11" w:name="_Toc473908322"/>
      <w:bookmarkStart w:id="12" w:name="_Toc473908565"/>
      <w:r>
        <w:t>To enable retransmissions of n+3 HPs in n+4 synchronous operations and vice versa, we can define the n+4 synchronous HP numbering as a function of the SFN and subframe.</w:t>
      </w:r>
      <w:bookmarkEnd w:id="1"/>
      <w:bookmarkEnd w:id="2"/>
      <w:bookmarkEnd w:id="3"/>
      <w:bookmarkEnd w:id="4"/>
      <w:bookmarkEnd w:id="5"/>
      <w:bookmarkEnd w:id="6"/>
      <w:bookmarkEnd w:id="7"/>
      <w:bookmarkEnd w:id="8"/>
      <w:bookmarkEnd w:id="9"/>
      <w:bookmarkEnd w:id="10"/>
      <w:bookmarkEnd w:id="11"/>
      <w:bookmarkEnd w:id="12"/>
      <w:r>
        <w:t xml:space="preserve"> </w:t>
      </w:r>
    </w:p>
    <w:p w14:paraId="29DBFB9A" w14:textId="77777777" w:rsidR="00D42CE6" w:rsidRDefault="00D42CE6" w:rsidP="00D42CE6">
      <w:pPr>
        <w:pStyle w:val="Observation"/>
      </w:pPr>
      <w:bookmarkStart w:id="13" w:name="_Toc473742155"/>
      <w:bookmarkStart w:id="14" w:name="_Toc473749911"/>
      <w:bookmarkStart w:id="15" w:name="_Toc473750820"/>
      <w:bookmarkStart w:id="16" w:name="_Toc473817492"/>
      <w:bookmarkStart w:id="17" w:name="_Toc473885461"/>
      <w:bookmarkStart w:id="18" w:name="_Toc473885604"/>
      <w:bookmarkStart w:id="19" w:name="_Toc473889517"/>
      <w:bookmarkStart w:id="20" w:name="_Toc473907928"/>
      <w:bookmarkStart w:id="21" w:name="_Toc473908108"/>
      <w:bookmarkStart w:id="22" w:name="_Toc473908240"/>
      <w:bookmarkStart w:id="23" w:name="_Toc473908323"/>
      <w:bookmarkStart w:id="24" w:name="_Toc473908566"/>
      <w:r>
        <w:t>For almost loss less switching from n+3 with 16 HPs to n+4 synchronous operations, we can drop the HPs numbered 8 to 15 and let n+3 HP number 0 to 7 map to n+4 HP number 0 to 7.</w:t>
      </w:r>
      <w:bookmarkEnd w:id="13"/>
      <w:bookmarkEnd w:id="14"/>
      <w:bookmarkEnd w:id="15"/>
      <w:bookmarkEnd w:id="16"/>
      <w:bookmarkEnd w:id="17"/>
      <w:bookmarkEnd w:id="18"/>
      <w:bookmarkEnd w:id="19"/>
      <w:bookmarkEnd w:id="20"/>
      <w:bookmarkEnd w:id="21"/>
      <w:bookmarkEnd w:id="22"/>
      <w:bookmarkEnd w:id="23"/>
      <w:bookmarkEnd w:id="24"/>
      <w:r>
        <w:t xml:space="preserve"> </w:t>
      </w:r>
    </w:p>
    <w:p w14:paraId="101914DB" w14:textId="77777777" w:rsidR="00D42CE6" w:rsidRDefault="00D42CE6" w:rsidP="00786D67"/>
    <w:p w14:paraId="258B2343" w14:textId="67F1B6DB" w:rsidR="00D42CE6" w:rsidRDefault="00D42CE6" w:rsidP="00D42CE6">
      <w:pPr>
        <w:pStyle w:val="Proposal"/>
      </w:pPr>
      <w:bookmarkStart w:id="25" w:name="_Toc473749917"/>
      <w:bookmarkStart w:id="26" w:name="_Toc473750824"/>
      <w:bookmarkStart w:id="27" w:name="_Toc473817499"/>
      <w:bookmarkStart w:id="28" w:name="_Toc473885466"/>
      <w:bookmarkStart w:id="29" w:name="_Toc473885609"/>
      <w:bookmarkStart w:id="30" w:name="_Toc473889522"/>
      <w:bookmarkStart w:id="31" w:name="_Toc473907933"/>
      <w:bookmarkStart w:id="32" w:name="_Toc473908113"/>
      <w:bookmarkStart w:id="33" w:name="_Toc473908245"/>
      <w:bookmarkStart w:id="34" w:name="_Toc473908328"/>
      <w:bookmarkStart w:id="35" w:name="_Toc473908571"/>
      <w:r>
        <w:t xml:space="preserve">Define the UL n+4 synchronous HP number as </w:t>
      </w:r>
      <w:r>
        <w:br/>
      </w:r>
      <w:r w:rsidRPr="000F6742">
        <w:rPr>
          <w:i/>
        </w:rPr>
        <w:t xml:space="preserve">[SFN * </w:t>
      </w:r>
      <w:proofErr w:type="spellStart"/>
      <w:r w:rsidRPr="000F6742">
        <w:rPr>
          <w:i/>
        </w:rPr>
        <w:t>number_of_UL_SFs_per_radio_frame</w:t>
      </w:r>
      <w:proofErr w:type="spellEnd"/>
      <w:r w:rsidRPr="000F6742">
        <w:rPr>
          <w:i/>
        </w:rPr>
        <w:t xml:space="preserve"> + </w:t>
      </w:r>
      <w:proofErr w:type="spellStart"/>
      <w:r w:rsidRPr="000F6742">
        <w:rPr>
          <w:i/>
        </w:rPr>
        <w:t>index_of_UL_SF</w:t>
      </w:r>
      <w:proofErr w:type="spellEnd"/>
      <w:r w:rsidRPr="000F6742">
        <w:rPr>
          <w:i/>
        </w:rPr>
        <w:t xml:space="preserve">] modulo </w:t>
      </w:r>
      <w:proofErr w:type="spellStart"/>
      <w:r w:rsidRPr="000F6742">
        <w:rPr>
          <w:i/>
        </w:rPr>
        <w:t>number_of_UL_HARQ_processes</w:t>
      </w:r>
      <w:proofErr w:type="spellEnd"/>
      <w:r>
        <w:t>.</w:t>
      </w:r>
      <w:bookmarkEnd w:id="25"/>
      <w:bookmarkEnd w:id="26"/>
      <w:bookmarkEnd w:id="27"/>
      <w:bookmarkEnd w:id="28"/>
      <w:bookmarkEnd w:id="29"/>
      <w:bookmarkEnd w:id="30"/>
      <w:bookmarkEnd w:id="31"/>
      <w:bookmarkEnd w:id="32"/>
      <w:bookmarkEnd w:id="33"/>
      <w:bookmarkEnd w:id="34"/>
      <w:bookmarkEnd w:id="35"/>
      <w:r>
        <w:t xml:space="preserve"> </w:t>
      </w:r>
    </w:p>
    <w:p w14:paraId="65D49209" w14:textId="77777777" w:rsidR="00D42CE6" w:rsidRDefault="00D42CE6" w:rsidP="00D42CE6">
      <w:pPr>
        <w:pStyle w:val="Proposal"/>
      </w:pPr>
      <w:bookmarkStart w:id="36" w:name="_Toc473749918"/>
      <w:bookmarkStart w:id="37" w:name="_Toc473750825"/>
      <w:bookmarkStart w:id="38" w:name="_Toc473817500"/>
      <w:bookmarkStart w:id="39" w:name="_Toc473885467"/>
      <w:bookmarkStart w:id="40" w:name="_Toc473885610"/>
      <w:bookmarkStart w:id="41" w:name="_Toc473889523"/>
      <w:bookmarkStart w:id="42" w:name="_Toc473907934"/>
      <w:bookmarkStart w:id="43" w:name="_Toc473908114"/>
      <w:bookmarkStart w:id="44" w:name="_Toc473908246"/>
      <w:bookmarkStart w:id="45" w:name="_Toc473908329"/>
      <w:bookmarkStart w:id="46" w:name="_Toc473908572"/>
      <w:r>
        <w:t>At a switch from n+3 with 16 HPs to n+4 synchronous operations, drop the HPs numbered 8 to 15 and let n+3 HP number 0 to 7 map to n+4 HP number 0 to 7.</w:t>
      </w:r>
      <w:bookmarkEnd w:id="36"/>
      <w:bookmarkEnd w:id="37"/>
      <w:bookmarkEnd w:id="38"/>
      <w:bookmarkEnd w:id="39"/>
      <w:bookmarkEnd w:id="40"/>
      <w:bookmarkEnd w:id="41"/>
      <w:bookmarkEnd w:id="42"/>
      <w:bookmarkEnd w:id="43"/>
      <w:bookmarkEnd w:id="44"/>
      <w:bookmarkEnd w:id="45"/>
      <w:bookmarkEnd w:id="46"/>
      <w:r>
        <w:t xml:space="preserve"> </w:t>
      </w:r>
    </w:p>
    <w:p w14:paraId="717FDABC" w14:textId="1E7CE710" w:rsidR="005C27B6" w:rsidRDefault="005C27B6" w:rsidP="00786D67"/>
    <w:p w14:paraId="62B3FE24" w14:textId="60E77206" w:rsidR="00F11148" w:rsidRDefault="00F11148" w:rsidP="00F11148">
      <w:pPr>
        <w:pStyle w:val="Heading2"/>
      </w:pPr>
      <w:r>
        <w:lastRenderedPageBreak/>
        <w:t xml:space="preserve">Switching from n+3 to n+4 </w:t>
      </w:r>
    </w:p>
    <w:p w14:paraId="6EB5789A" w14:textId="063E78C3" w:rsidR="00DC2280" w:rsidRDefault="00F5374A" w:rsidP="00DC2280">
      <w:r>
        <w:t xml:space="preserve">In Figure 1 we have an </w:t>
      </w:r>
      <w:r w:rsidR="00DC2280">
        <w:t xml:space="preserve">example </w:t>
      </w:r>
      <w:r>
        <w:t xml:space="preserve">of </w:t>
      </w:r>
      <w:r w:rsidR="00663769">
        <w:t xml:space="preserve">DL </w:t>
      </w:r>
      <w:r>
        <w:t xml:space="preserve">continuous scheduling </w:t>
      </w:r>
      <w:r w:rsidR="00DC2280">
        <w:t xml:space="preserve">where </w:t>
      </w:r>
      <w:r w:rsidR="00663769">
        <w:t xml:space="preserve">boxes indicate HP number and </w:t>
      </w:r>
      <w:r w:rsidR="00DC2280">
        <w:t xml:space="preserve">the first six boxes </w:t>
      </w:r>
      <w:r w:rsidR="00663769">
        <w:t xml:space="preserve">are </w:t>
      </w:r>
      <w:r w:rsidR="003E1B6C">
        <w:t xml:space="preserve">using </w:t>
      </w:r>
      <w:r w:rsidR="00DC2280">
        <w:t>n+3</w:t>
      </w:r>
      <w:r w:rsidR="002114F4">
        <w:t>,</w:t>
      </w:r>
      <w:r w:rsidR="00DC2280">
        <w:t xml:space="preserve"> </w:t>
      </w:r>
      <w:r w:rsidR="007F696B">
        <w:t xml:space="preserve">then there is a switch </w:t>
      </w:r>
      <w:r w:rsidR="00DC2280">
        <w:t>and the next eight are n+4</w:t>
      </w:r>
      <w:r w:rsidR="00AC738E">
        <w:t xml:space="preserve"> (indicated with green back ground)</w:t>
      </w:r>
      <w:r w:rsidR="004B4AC0">
        <w:t xml:space="preserve">. </w:t>
      </w:r>
      <w:r w:rsidR="00663769">
        <w:t>T</w:t>
      </w:r>
      <w:r w:rsidR="00DC2280">
        <w:t xml:space="preserve">he second row indicates when HARQ feedback shall be transmitted in the UL. </w:t>
      </w:r>
      <w:r w:rsidR="00AC738E">
        <w:t xml:space="preserve">Note that there will be on TTI where there is no feedback to transmit. </w:t>
      </w:r>
    </w:p>
    <w:tbl>
      <w:tblPr>
        <w:tblW w:w="9926" w:type="dxa"/>
        <w:tblInd w:w="75" w:type="dxa"/>
        <w:tblCellMar>
          <w:left w:w="70" w:type="dxa"/>
          <w:right w:w="70" w:type="dxa"/>
        </w:tblCellMar>
        <w:tblLook w:val="04A0" w:firstRow="1" w:lastRow="0" w:firstColumn="1" w:lastColumn="0" w:noHBand="0" w:noVBand="1"/>
      </w:tblPr>
      <w:tblGrid>
        <w:gridCol w:w="709"/>
        <w:gridCol w:w="709"/>
        <w:gridCol w:w="709"/>
        <w:gridCol w:w="709"/>
        <w:gridCol w:w="709"/>
        <w:gridCol w:w="709"/>
        <w:gridCol w:w="709"/>
        <w:gridCol w:w="709"/>
        <w:gridCol w:w="709"/>
        <w:gridCol w:w="709"/>
        <w:gridCol w:w="709"/>
        <w:gridCol w:w="709"/>
        <w:gridCol w:w="709"/>
        <w:gridCol w:w="709"/>
      </w:tblGrid>
      <w:tr w:rsidR="00DC2280" w:rsidRPr="00EA4436" w14:paraId="33C30A54" w14:textId="77777777" w:rsidTr="00422372">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4FB6A"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E7DE115"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E30B8B9"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E2B5FBC"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1047090"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225EFFCF"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1886438" w14:textId="25AB824B" w:rsidR="00DC2280" w:rsidRPr="00F71C01" w:rsidRDefault="00944681"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Pr>
                <w:rFonts w:ascii="Calibri" w:hAnsi="Calibri"/>
                <w:color w:val="000000"/>
                <w:sz w:val="22"/>
                <w:szCs w:val="22"/>
                <w:highlight w:val="green"/>
                <w:lang w:val="sv-SE" w:eastAsia="sv-SE"/>
              </w:rPr>
              <w:t>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8798A47" w14:textId="3FB24C97" w:rsidR="00DC2280" w:rsidRPr="00F71C01" w:rsidRDefault="00944681"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Pr>
                <w:rFonts w:ascii="Calibri" w:hAnsi="Calibri"/>
                <w:color w:val="000000"/>
                <w:sz w:val="22"/>
                <w:szCs w:val="22"/>
                <w:highlight w:val="green"/>
                <w:lang w:val="sv-SE" w:eastAsia="sv-SE"/>
              </w:rPr>
              <w:t>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9BAA464" w14:textId="3631126D" w:rsidR="00DC2280" w:rsidRPr="00F71C01" w:rsidRDefault="00944681"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Pr>
                <w:rFonts w:ascii="Calibri" w:hAnsi="Calibri"/>
                <w:color w:val="000000"/>
                <w:sz w:val="22"/>
                <w:szCs w:val="22"/>
                <w:highlight w:val="green"/>
                <w:lang w:val="sv-SE" w:eastAsia="sv-SE"/>
              </w:rPr>
              <w:t>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841635A" w14:textId="139CA3B6" w:rsidR="00DC2280" w:rsidRPr="00F71C01" w:rsidRDefault="00944681"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Pr>
                <w:rFonts w:ascii="Calibri" w:hAnsi="Calibri"/>
                <w:color w:val="000000"/>
                <w:sz w:val="22"/>
                <w:szCs w:val="22"/>
                <w:highlight w:val="green"/>
                <w:lang w:val="sv-SE" w:eastAsia="sv-SE"/>
              </w:rPr>
              <w:t>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1F8D3110" w14:textId="7B4134DC" w:rsidR="00DC2280" w:rsidRPr="00F71C01" w:rsidRDefault="00944681"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Pr>
                <w:rFonts w:ascii="Calibri" w:hAnsi="Calibri"/>
                <w:color w:val="000000"/>
                <w:sz w:val="22"/>
                <w:szCs w:val="22"/>
                <w:highlight w:val="green"/>
                <w:lang w:val="sv-SE" w:eastAsia="sv-SE"/>
              </w:rPr>
              <w:t>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6A00397" w14:textId="0F95E186" w:rsidR="00DC2280" w:rsidRPr="00F71C01" w:rsidRDefault="00944681"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Pr>
                <w:rFonts w:ascii="Calibri" w:hAnsi="Calibri"/>
                <w:color w:val="000000"/>
                <w:sz w:val="22"/>
                <w:szCs w:val="22"/>
                <w:highlight w:val="green"/>
                <w:lang w:val="sv-SE" w:eastAsia="sv-SE"/>
              </w:rPr>
              <w:t>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3B663FD" w14:textId="77777777" w:rsidR="00DC2280" w:rsidRPr="00F71C01" w:rsidRDefault="00DC2280"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726BA39" w14:textId="77777777" w:rsidR="00DC2280" w:rsidRPr="00F71C01" w:rsidRDefault="00DC2280" w:rsidP="00422372">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7</w:t>
            </w:r>
          </w:p>
        </w:tc>
      </w:tr>
      <w:tr w:rsidR="00DC2280" w:rsidRPr="00EA4436" w14:paraId="677E2D70" w14:textId="77777777" w:rsidTr="00422372">
        <w:trPr>
          <w:trHeight w:val="300"/>
        </w:trPr>
        <w:tc>
          <w:tcPr>
            <w:tcW w:w="709" w:type="dxa"/>
            <w:tcBorders>
              <w:top w:val="nil"/>
              <w:left w:val="nil"/>
              <w:bottom w:val="nil"/>
              <w:right w:val="nil"/>
            </w:tcBorders>
            <w:shd w:val="clear" w:color="auto" w:fill="auto"/>
            <w:noWrap/>
            <w:vAlign w:val="bottom"/>
            <w:hideMark/>
          </w:tcPr>
          <w:p w14:paraId="5C700863"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p>
        </w:tc>
        <w:tc>
          <w:tcPr>
            <w:tcW w:w="709" w:type="dxa"/>
            <w:tcBorders>
              <w:top w:val="nil"/>
              <w:left w:val="nil"/>
              <w:bottom w:val="nil"/>
              <w:right w:val="nil"/>
            </w:tcBorders>
            <w:shd w:val="clear" w:color="auto" w:fill="auto"/>
            <w:noWrap/>
            <w:vAlign w:val="bottom"/>
            <w:hideMark/>
          </w:tcPr>
          <w:p w14:paraId="50FEAFEE" w14:textId="77777777" w:rsidR="00DC2280" w:rsidRPr="00EA4436" w:rsidRDefault="00DC2280" w:rsidP="00422372">
            <w:pPr>
              <w:overflowPunct/>
              <w:autoSpaceDE/>
              <w:autoSpaceDN/>
              <w:adjustRightInd/>
              <w:spacing w:after="0"/>
              <w:jc w:val="center"/>
              <w:textAlignment w:val="auto"/>
              <w:rPr>
                <w:rFonts w:ascii="Times New Roman" w:hAnsi="Times New Roman"/>
                <w:lang w:val="sv-SE" w:eastAsia="sv-SE"/>
              </w:rPr>
            </w:pPr>
          </w:p>
        </w:tc>
        <w:tc>
          <w:tcPr>
            <w:tcW w:w="709" w:type="dxa"/>
            <w:tcBorders>
              <w:top w:val="nil"/>
              <w:left w:val="nil"/>
              <w:bottom w:val="nil"/>
              <w:right w:val="nil"/>
            </w:tcBorders>
            <w:shd w:val="clear" w:color="auto" w:fill="auto"/>
            <w:noWrap/>
            <w:vAlign w:val="bottom"/>
            <w:hideMark/>
          </w:tcPr>
          <w:p w14:paraId="55B021DD" w14:textId="77777777" w:rsidR="00DC2280" w:rsidRPr="00EA4436" w:rsidRDefault="00DC2280" w:rsidP="00422372">
            <w:pPr>
              <w:overflowPunct/>
              <w:autoSpaceDE/>
              <w:autoSpaceDN/>
              <w:adjustRightInd/>
              <w:spacing w:after="0"/>
              <w:jc w:val="center"/>
              <w:textAlignment w:val="auto"/>
              <w:rPr>
                <w:rFonts w:ascii="Times New Roman" w:hAnsi="Times New Roman"/>
                <w:lang w:val="sv-SE" w:eastAsia="sv-SE"/>
              </w:rPr>
            </w:pPr>
          </w:p>
        </w:tc>
        <w:tc>
          <w:tcPr>
            <w:tcW w:w="709" w:type="dxa"/>
            <w:tcBorders>
              <w:top w:val="nil"/>
              <w:left w:val="nil"/>
              <w:bottom w:val="nil"/>
              <w:right w:val="nil"/>
            </w:tcBorders>
            <w:shd w:val="clear" w:color="auto" w:fill="auto"/>
            <w:noWrap/>
            <w:vAlign w:val="bottom"/>
            <w:hideMark/>
          </w:tcPr>
          <w:p w14:paraId="61100468"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A2</w:t>
            </w:r>
          </w:p>
        </w:tc>
        <w:tc>
          <w:tcPr>
            <w:tcW w:w="709" w:type="dxa"/>
            <w:tcBorders>
              <w:top w:val="nil"/>
              <w:left w:val="nil"/>
              <w:bottom w:val="nil"/>
              <w:right w:val="nil"/>
            </w:tcBorders>
            <w:shd w:val="clear" w:color="auto" w:fill="auto"/>
            <w:noWrap/>
            <w:vAlign w:val="bottom"/>
            <w:hideMark/>
          </w:tcPr>
          <w:p w14:paraId="3E8603EA"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A3</w:t>
            </w:r>
          </w:p>
        </w:tc>
        <w:tc>
          <w:tcPr>
            <w:tcW w:w="709" w:type="dxa"/>
            <w:tcBorders>
              <w:top w:val="nil"/>
              <w:left w:val="nil"/>
              <w:bottom w:val="nil"/>
              <w:right w:val="nil"/>
            </w:tcBorders>
            <w:shd w:val="clear" w:color="auto" w:fill="auto"/>
            <w:noWrap/>
            <w:vAlign w:val="bottom"/>
            <w:hideMark/>
          </w:tcPr>
          <w:p w14:paraId="365104B2"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A4</w:t>
            </w:r>
          </w:p>
        </w:tc>
        <w:tc>
          <w:tcPr>
            <w:tcW w:w="709" w:type="dxa"/>
            <w:tcBorders>
              <w:top w:val="nil"/>
              <w:left w:val="nil"/>
              <w:bottom w:val="nil"/>
              <w:right w:val="nil"/>
            </w:tcBorders>
            <w:shd w:val="clear" w:color="auto" w:fill="auto"/>
            <w:noWrap/>
            <w:vAlign w:val="bottom"/>
            <w:hideMark/>
          </w:tcPr>
          <w:p w14:paraId="5D2DEE97"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A5</w:t>
            </w:r>
          </w:p>
        </w:tc>
        <w:tc>
          <w:tcPr>
            <w:tcW w:w="709" w:type="dxa"/>
            <w:tcBorders>
              <w:top w:val="nil"/>
              <w:left w:val="nil"/>
              <w:bottom w:val="nil"/>
              <w:right w:val="nil"/>
            </w:tcBorders>
            <w:shd w:val="clear" w:color="auto" w:fill="auto"/>
            <w:noWrap/>
            <w:vAlign w:val="bottom"/>
            <w:hideMark/>
          </w:tcPr>
          <w:p w14:paraId="4626ED19"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A0</w:t>
            </w:r>
          </w:p>
        </w:tc>
        <w:tc>
          <w:tcPr>
            <w:tcW w:w="709" w:type="dxa"/>
            <w:tcBorders>
              <w:top w:val="nil"/>
              <w:left w:val="nil"/>
              <w:bottom w:val="nil"/>
              <w:right w:val="nil"/>
            </w:tcBorders>
            <w:shd w:val="clear" w:color="auto" w:fill="auto"/>
            <w:noWrap/>
            <w:vAlign w:val="bottom"/>
            <w:hideMark/>
          </w:tcPr>
          <w:p w14:paraId="5E62B48B"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A1</w:t>
            </w:r>
          </w:p>
        </w:tc>
        <w:tc>
          <w:tcPr>
            <w:tcW w:w="709" w:type="dxa"/>
            <w:tcBorders>
              <w:top w:val="nil"/>
              <w:left w:val="nil"/>
              <w:bottom w:val="nil"/>
              <w:right w:val="nil"/>
            </w:tcBorders>
            <w:shd w:val="clear" w:color="auto" w:fill="auto"/>
            <w:noWrap/>
            <w:vAlign w:val="bottom"/>
            <w:hideMark/>
          </w:tcPr>
          <w:p w14:paraId="0BB517E2"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p>
        </w:tc>
        <w:tc>
          <w:tcPr>
            <w:tcW w:w="709" w:type="dxa"/>
            <w:tcBorders>
              <w:top w:val="nil"/>
              <w:left w:val="nil"/>
              <w:bottom w:val="nil"/>
              <w:right w:val="nil"/>
            </w:tcBorders>
            <w:shd w:val="clear" w:color="auto" w:fill="auto"/>
            <w:noWrap/>
            <w:vAlign w:val="bottom"/>
            <w:hideMark/>
          </w:tcPr>
          <w:p w14:paraId="3D61F558"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A0</w:t>
            </w:r>
          </w:p>
        </w:tc>
        <w:tc>
          <w:tcPr>
            <w:tcW w:w="709" w:type="dxa"/>
            <w:tcBorders>
              <w:top w:val="nil"/>
              <w:left w:val="nil"/>
              <w:bottom w:val="nil"/>
              <w:right w:val="nil"/>
            </w:tcBorders>
            <w:shd w:val="clear" w:color="auto" w:fill="auto"/>
            <w:noWrap/>
            <w:vAlign w:val="bottom"/>
            <w:hideMark/>
          </w:tcPr>
          <w:p w14:paraId="720E0C4E"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A1</w:t>
            </w:r>
          </w:p>
        </w:tc>
        <w:tc>
          <w:tcPr>
            <w:tcW w:w="709" w:type="dxa"/>
            <w:tcBorders>
              <w:top w:val="nil"/>
              <w:left w:val="nil"/>
              <w:bottom w:val="nil"/>
              <w:right w:val="nil"/>
            </w:tcBorders>
            <w:shd w:val="clear" w:color="auto" w:fill="auto"/>
            <w:noWrap/>
            <w:vAlign w:val="bottom"/>
            <w:hideMark/>
          </w:tcPr>
          <w:p w14:paraId="1FFAF649"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A2</w:t>
            </w:r>
          </w:p>
        </w:tc>
        <w:tc>
          <w:tcPr>
            <w:tcW w:w="709" w:type="dxa"/>
            <w:tcBorders>
              <w:top w:val="nil"/>
              <w:left w:val="nil"/>
              <w:bottom w:val="nil"/>
              <w:right w:val="nil"/>
            </w:tcBorders>
            <w:shd w:val="clear" w:color="auto" w:fill="auto"/>
            <w:noWrap/>
            <w:vAlign w:val="bottom"/>
            <w:hideMark/>
          </w:tcPr>
          <w:p w14:paraId="79C7225C" w14:textId="77777777" w:rsidR="00DC2280" w:rsidRPr="00EA4436" w:rsidRDefault="00DC2280" w:rsidP="00422372">
            <w:pPr>
              <w:overflowPunct/>
              <w:autoSpaceDE/>
              <w:autoSpaceDN/>
              <w:adjustRightInd/>
              <w:spacing w:after="0"/>
              <w:jc w:val="center"/>
              <w:textAlignment w:val="auto"/>
              <w:rPr>
                <w:rFonts w:ascii="Calibri" w:hAnsi="Calibri"/>
                <w:color w:val="000000"/>
                <w:sz w:val="22"/>
                <w:szCs w:val="22"/>
                <w:lang w:val="sv-SE" w:eastAsia="sv-SE"/>
              </w:rPr>
            </w:pPr>
            <w:r w:rsidRPr="00EA4436">
              <w:rPr>
                <w:rFonts w:ascii="Calibri" w:hAnsi="Calibri"/>
                <w:color w:val="000000"/>
                <w:sz w:val="22"/>
                <w:szCs w:val="22"/>
                <w:lang w:val="sv-SE" w:eastAsia="sv-SE"/>
              </w:rPr>
              <w:t>A3</w:t>
            </w:r>
          </w:p>
        </w:tc>
      </w:tr>
    </w:tbl>
    <w:p w14:paraId="704F6038" w14:textId="3D99A29C" w:rsidR="00F5374A" w:rsidRDefault="00F5374A" w:rsidP="00F5374A">
      <w:pPr>
        <w:pStyle w:val="Caption"/>
      </w:pPr>
      <w:r>
        <w:t xml:space="preserve">Figure </w:t>
      </w:r>
      <w:r>
        <w:fldChar w:fldCharType="begin"/>
      </w:r>
      <w:r>
        <w:instrText xml:space="preserve"> SEQ Figure \* ARABIC </w:instrText>
      </w:r>
      <w:r>
        <w:fldChar w:fldCharType="separate"/>
      </w:r>
      <w:r w:rsidR="007052CF">
        <w:rPr>
          <w:noProof/>
        </w:rPr>
        <w:t>1</w:t>
      </w:r>
      <w:r>
        <w:fldChar w:fldCharType="end"/>
      </w:r>
      <w:r>
        <w:t xml:space="preserve"> Example of HP usage for continuous DL scheduling with switch from n+3 to n+4 after 6 TTIs </w:t>
      </w:r>
    </w:p>
    <w:p w14:paraId="076BCBF6" w14:textId="77777777" w:rsidR="00DC2280" w:rsidRDefault="00DC2280" w:rsidP="006D435B"/>
    <w:p w14:paraId="308A672B" w14:textId="038BAC09" w:rsidR="007F696B" w:rsidRDefault="00DC2280" w:rsidP="006D435B">
      <w:r>
        <w:t xml:space="preserve">If continuously scheduled in the UL, there will be one empty TTI </w:t>
      </w:r>
      <w:r w:rsidR="006A69D6">
        <w:t>at m+3 if the first n+4</w:t>
      </w:r>
      <w:r w:rsidR="007F696B">
        <w:t xml:space="preserve"> grant is transmitted in TTI m</w:t>
      </w:r>
      <w:r w:rsidR="00F5374A">
        <w:t>, see Figure 2</w:t>
      </w:r>
      <w:r w:rsidR="007F696B">
        <w:t>.</w:t>
      </w:r>
    </w:p>
    <w:p w14:paraId="4104FBEF" w14:textId="1F9E59AC" w:rsidR="006A69D6" w:rsidRDefault="006A69D6" w:rsidP="006D435B">
      <w:r>
        <w:t xml:space="preserve">Illustrated in </w:t>
      </w:r>
      <w:r w:rsidR="00F5374A">
        <w:t xml:space="preserve">Figure 2 we have the </w:t>
      </w:r>
      <w:r>
        <w:t xml:space="preserve">first six boxes </w:t>
      </w:r>
      <w:r w:rsidR="00F15231">
        <w:t xml:space="preserve">to the left </w:t>
      </w:r>
      <w:r>
        <w:t xml:space="preserve">scheduled with n+3 timing and then </w:t>
      </w:r>
      <w:r w:rsidR="007F696B">
        <w:t>an</w:t>
      </w:r>
      <w:r>
        <w:t xml:space="preserve"> empty box where no grant is valid and </w:t>
      </w:r>
      <w:r w:rsidR="007F696B">
        <w:t>to the right</w:t>
      </w:r>
      <w:r>
        <w:t xml:space="preserve"> we have the eight </w:t>
      </w:r>
      <w:r w:rsidR="005C27B6">
        <w:t xml:space="preserve">n+4 </w:t>
      </w:r>
      <w:r>
        <w:t>UL transmissions</w:t>
      </w:r>
      <w:r w:rsidR="00AC738E">
        <w:t xml:space="preserve"> (indicated with green back ground)</w:t>
      </w:r>
      <w:r w:rsidR="00F15231">
        <w:t xml:space="preserve"> (the </w:t>
      </w:r>
      <w:r w:rsidR="007F696B">
        <w:t>HP</w:t>
      </w:r>
      <w:r w:rsidR="00F5374A">
        <w:t xml:space="preserve"> number</w:t>
      </w:r>
      <w:r w:rsidR="007F696B">
        <w:t xml:space="preserve">s </w:t>
      </w:r>
      <w:r w:rsidR="00F15231">
        <w:t xml:space="preserve">are never signalled for </w:t>
      </w:r>
      <w:r w:rsidR="00F5374A">
        <w:t>n+4</w:t>
      </w:r>
      <w:r w:rsidR="00F15231">
        <w:t>)</w:t>
      </w:r>
      <w:r>
        <w:t>. We</w:t>
      </w:r>
      <w:r w:rsidR="007F696B">
        <w:t xml:space="preserve"> also see the grants for the n+3</w:t>
      </w:r>
      <w:r>
        <w:t xml:space="preserve"> scheduling </w:t>
      </w:r>
      <w:r w:rsidR="007F696B">
        <w:t xml:space="preserve">(indicated with </w:t>
      </w:r>
      <w:proofErr w:type="spellStart"/>
      <w:r w:rsidR="007F696B">
        <w:t>gX</w:t>
      </w:r>
      <w:proofErr w:type="spellEnd"/>
      <w:r w:rsidR="007F696B">
        <w:t xml:space="preserve">) </w:t>
      </w:r>
      <w:r>
        <w:t xml:space="preserve">on first row and </w:t>
      </w:r>
      <w:r w:rsidR="00F5374A">
        <w:t xml:space="preserve">grants for </w:t>
      </w:r>
      <w:r w:rsidR="007F696B">
        <w:t>n+4 scheduling (indicated with GX). T</w:t>
      </w:r>
      <w:r>
        <w:t xml:space="preserve">he PHICH feedback </w:t>
      </w:r>
      <w:r w:rsidR="00F15231">
        <w:t xml:space="preserve">row </w:t>
      </w:r>
      <w:r w:rsidR="007F696B">
        <w:t xml:space="preserve">is </w:t>
      </w:r>
      <w:r w:rsidR="00F15231">
        <w:t>after the boxes</w:t>
      </w:r>
      <w:r w:rsidR="007F696B">
        <w:t>, and as n+3 is asynchronous there is no PHICH feedback for them</w:t>
      </w:r>
      <w:r w:rsidR="00BF2B05">
        <w:t xml:space="preserve"> but we indicate when the feedback would have been sent by </w:t>
      </w:r>
      <w:proofErr w:type="spellStart"/>
      <w:r w:rsidR="00BF2B05">
        <w:t>aX</w:t>
      </w:r>
      <w:proofErr w:type="spellEnd"/>
      <w:r w:rsidR="00F15231">
        <w:t>.</w:t>
      </w:r>
      <w:r>
        <w:t xml:space="preserve"> </w:t>
      </w:r>
    </w:p>
    <w:p w14:paraId="3A2AC144" w14:textId="2D2D989E" w:rsidR="006A69D6" w:rsidRDefault="006A69D6" w:rsidP="006D435B"/>
    <w:tbl>
      <w:tblPr>
        <w:tblW w:w="10200" w:type="dxa"/>
        <w:tblInd w:w="70" w:type="dxa"/>
        <w:tblCellMar>
          <w:left w:w="70" w:type="dxa"/>
          <w:right w:w="70" w:type="dxa"/>
        </w:tblCellMar>
        <w:tblLook w:val="04A0" w:firstRow="1" w:lastRow="0" w:firstColumn="1" w:lastColumn="0" w:noHBand="0" w:noVBand="1"/>
      </w:tblPr>
      <w:tblGrid>
        <w:gridCol w:w="680"/>
        <w:gridCol w:w="680"/>
        <w:gridCol w:w="680"/>
        <w:gridCol w:w="680"/>
        <w:gridCol w:w="680"/>
        <w:gridCol w:w="680"/>
        <w:gridCol w:w="680"/>
        <w:gridCol w:w="680"/>
        <w:gridCol w:w="680"/>
        <w:gridCol w:w="680"/>
        <w:gridCol w:w="680"/>
        <w:gridCol w:w="680"/>
        <w:gridCol w:w="680"/>
        <w:gridCol w:w="680"/>
        <w:gridCol w:w="680"/>
      </w:tblGrid>
      <w:tr w:rsidR="00F15231" w:rsidRPr="006835A3" w14:paraId="69DB0ACE" w14:textId="77777777" w:rsidTr="00F15231">
        <w:trPr>
          <w:gridAfter w:val="1"/>
          <w:wAfter w:w="680" w:type="dxa"/>
          <w:trHeight w:val="300"/>
        </w:trPr>
        <w:tc>
          <w:tcPr>
            <w:tcW w:w="680" w:type="dxa"/>
            <w:tcBorders>
              <w:top w:val="nil"/>
              <w:left w:val="nil"/>
              <w:bottom w:val="nil"/>
              <w:right w:val="nil"/>
            </w:tcBorders>
            <w:shd w:val="clear" w:color="auto" w:fill="auto"/>
            <w:noWrap/>
            <w:vAlign w:val="bottom"/>
          </w:tcPr>
          <w:p w14:paraId="26DA3C63" w14:textId="16E9D6CE" w:rsidR="00F15231" w:rsidRPr="00F71C01" w:rsidRDefault="007F696B" w:rsidP="00F15231">
            <w:pPr>
              <w:overflowPunct/>
              <w:autoSpaceDE/>
              <w:autoSpaceDN/>
              <w:adjustRightInd/>
              <w:spacing w:after="0"/>
              <w:jc w:val="left"/>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g4</w:t>
            </w:r>
          </w:p>
        </w:tc>
        <w:tc>
          <w:tcPr>
            <w:tcW w:w="680" w:type="dxa"/>
            <w:tcBorders>
              <w:top w:val="nil"/>
              <w:left w:val="nil"/>
              <w:bottom w:val="nil"/>
              <w:right w:val="nil"/>
            </w:tcBorders>
            <w:shd w:val="clear" w:color="auto" w:fill="auto"/>
            <w:noWrap/>
            <w:vAlign w:val="bottom"/>
            <w:hideMark/>
          </w:tcPr>
          <w:p w14:paraId="1D4B6FE5" w14:textId="08BA180C" w:rsidR="00F15231" w:rsidRPr="00F71C01" w:rsidRDefault="007F696B" w:rsidP="00F15231">
            <w:pPr>
              <w:overflowPunct/>
              <w:autoSpaceDE/>
              <w:autoSpaceDN/>
              <w:adjustRightInd/>
              <w:spacing w:after="0"/>
              <w:jc w:val="left"/>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g5</w:t>
            </w:r>
          </w:p>
        </w:tc>
        <w:tc>
          <w:tcPr>
            <w:tcW w:w="680" w:type="dxa"/>
            <w:tcBorders>
              <w:top w:val="nil"/>
              <w:left w:val="nil"/>
              <w:bottom w:val="nil"/>
              <w:right w:val="nil"/>
            </w:tcBorders>
            <w:shd w:val="clear" w:color="auto" w:fill="auto"/>
            <w:noWrap/>
            <w:vAlign w:val="bottom"/>
            <w:hideMark/>
          </w:tcPr>
          <w:p w14:paraId="72105411" w14:textId="116509C7"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g0</w:t>
            </w:r>
          </w:p>
        </w:tc>
        <w:tc>
          <w:tcPr>
            <w:tcW w:w="680" w:type="dxa"/>
            <w:tcBorders>
              <w:top w:val="nil"/>
              <w:left w:val="nil"/>
              <w:bottom w:val="nil"/>
              <w:right w:val="nil"/>
            </w:tcBorders>
            <w:shd w:val="clear" w:color="auto" w:fill="auto"/>
            <w:noWrap/>
            <w:vAlign w:val="bottom"/>
            <w:hideMark/>
          </w:tcPr>
          <w:p w14:paraId="777612FF" w14:textId="73833EC0"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G0</w:t>
            </w:r>
          </w:p>
        </w:tc>
        <w:tc>
          <w:tcPr>
            <w:tcW w:w="680" w:type="dxa"/>
            <w:tcBorders>
              <w:top w:val="nil"/>
              <w:left w:val="nil"/>
              <w:bottom w:val="nil"/>
              <w:right w:val="nil"/>
            </w:tcBorders>
            <w:shd w:val="clear" w:color="auto" w:fill="auto"/>
            <w:noWrap/>
            <w:vAlign w:val="bottom"/>
            <w:hideMark/>
          </w:tcPr>
          <w:p w14:paraId="07C3C68A" w14:textId="3758E2B5"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G1</w:t>
            </w:r>
          </w:p>
        </w:tc>
        <w:tc>
          <w:tcPr>
            <w:tcW w:w="680" w:type="dxa"/>
            <w:tcBorders>
              <w:top w:val="nil"/>
              <w:left w:val="nil"/>
              <w:bottom w:val="nil"/>
              <w:right w:val="nil"/>
            </w:tcBorders>
            <w:shd w:val="clear" w:color="auto" w:fill="auto"/>
            <w:noWrap/>
            <w:vAlign w:val="bottom"/>
            <w:hideMark/>
          </w:tcPr>
          <w:p w14:paraId="7CA44005" w14:textId="4AA9BFD0"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G2</w:t>
            </w:r>
          </w:p>
        </w:tc>
        <w:tc>
          <w:tcPr>
            <w:tcW w:w="680" w:type="dxa"/>
            <w:tcBorders>
              <w:top w:val="nil"/>
              <w:left w:val="nil"/>
              <w:bottom w:val="nil"/>
              <w:right w:val="nil"/>
            </w:tcBorders>
            <w:shd w:val="clear" w:color="auto" w:fill="auto"/>
            <w:noWrap/>
            <w:vAlign w:val="bottom"/>
            <w:hideMark/>
          </w:tcPr>
          <w:p w14:paraId="4439003E" w14:textId="1EEAF31C"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G3</w:t>
            </w:r>
          </w:p>
        </w:tc>
        <w:tc>
          <w:tcPr>
            <w:tcW w:w="680" w:type="dxa"/>
            <w:tcBorders>
              <w:top w:val="nil"/>
              <w:left w:val="nil"/>
              <w:bottom w:val="nil"/>
              <w:right w:val="nil"/>
            </w:tcBorders>
            <w:shd w:val="clear" w:color="auto" w:fill="auto"/>
            <w:noWrap/>
            <w:vAlign w:val="bottom"/>
            <w:hideMark/>
          </w:tcPr>
          <w:p w14:paraId="59CB3140" w14:textId="56CCAFBF"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G4</w:t>
            </w:r>
          </w:p>
        </w:tc>
        <w:tc>
          <w:tcPr>
            <w:tcW w:w="680" w:type="dxa"/>
            <w:tcBorders>
              <w:top w:val="nil"/>
              <w:left w:val="nil"/>
              <w:bottom w:val="nil"/>
              <w:right w:val="nil"/>
            </w:tcBorders>
            <w:shd w:val="clear" w:color="auto" w:fill="auto"/>
            <w:noWrap/>
            <w:vAlign w:val="bottom"/>
            <w:hideMark/>
          </w:tcPr>
          <w:p w14:paraId="632D3F36" w14:textId="66C0A229"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G5</w:t>
            </w:r>
          </w:p>
        </w:tc>
        <w:tc>
          <w:tcPr>
            <w:tcW w:w="680" w:type="dxa"/>
            <w:tcBorders>
              <w:top w:val="nil"/>
              <w:left w:val="nil"/>
              <w:bottom w:val="nil"/>
              <w:right w:val="nil"/>
            </w:tcBorders>
            <w:shd w:val="clear" w:color="auto" w:fill="auto"/>
            <w:noWrap/>
            <w:vAlign w:val="bottom"/>
            <w:hideMark/>
          </w:tcPr>
          <w:p w14:paraId="59DEE816" w14:textId="390C1427"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G6</w:t>
            </w:r>
          </w:p>
        </w:tc>
        <w:tc>
          <w:tcPr>
            <w:tcW w:w="680" w:type="dxa"/>
            <w:tcBorders>
              <w:top w:val="nil"/>
              <w:left w:val="nil"/>
              <w:bottom w:val="nil"/>
              <w:right w:val="nil"/>
            </w:tcBorders>
            <w:shd w:val="clear" w:color="auto" w:fill="auto"/>
            <w:noWrap/>
            <w:vAlign w:val="bottom"/>
            <w:hideMark/>
          </w:tcPr>
          <w:p w14:paraId="577A7C4B" w14:textId="538F253D" w:rsidR="00F15231" w:rsidRPr="00F71C01" w:rsidRDefault="007F696B" w:rsidP="00F15231">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G7</w:t>
            </w:r>
          </w:p>
        </w:tc>
        <w:tc>
          <w:tcPr>
            <w:tcW w:w="680" w:type="dxa"/>
            <w:tcBorders>
              <w:top w:val="nil"/>
              <w:left w:val="nil"/>
              <w:bottom w:val="nil"/>
              <w:right w:val="nil"/>
            </w:tcBorders>
            <w:shd w:val="clear" w:color="auto" w:fill="auto"/>
            <w:noWrap/>
            <w:vAlign w:val="bottom"/>
            <w:hideMark/>
          </w:tcPr>
          <w:p w14:paraId="10FF1D18" w14:textId="5AF2DA44" w:rsidR="00F15231" w:rsidRPr="00F71C01" w:rsidRDefault="007F696B" w:rsidP="00F15231">
            <w:pPr>
              <w:overflowPunct/>
              <w:autoSpaceDE/>
              <w:autoSpaceDN/>
              <w:adjustRightInd/>
              <w:spacing w:after="0"/>
              <w:jc w:val="center"/>
              <w:textAlignment w:val="auto"/>
              <w:rPr>
                <w:rFonts w:asciiTheme="minorHAnsi" w:hAnsiTheme="minorHAnsi"/>
                <w:sz w:val="22"/>
                <w:szCs w:val="22"/>
                <w:lang w:val="en-US" w:eastAsia="sv-SE"/>
              </w:rPr>
            </w:pPr>
            <w:r w:rsidRPr="00F71C01">
              <w:rPr>
                <w:rFonts w:asciiTheme="minorHAnsi" w:hAnsiTheme="minorHAnsi"/>
                <w:sz w:val="22"/>
                <w:szCs w:val="22"/>
                <w:lang w:val="en-US" w:eastAsia="sv-SE"/>
              </w:rPr>
              <w:t>G0</w:t>
            </w:r>
          </w:p>
        </w:tc>
        <w:tc>
          <w:tcPr>
            <w:tcW w:w="680" w:type="dxa"/>
            <w:tcBorders>
              <w:top w:val="nil"/>
              <w:left w:val="nil"/>
              <w:bottom w:val="nil"/>
              <w:right w:val="nil"/>
            </w:tcBorders>
            <w:shd w:val="clear" w:color="auto" w:fill="auto"/>
            <w:noWrap/>
            <w:vAlign w:val="bottom"/>
            <w:hideMark/>
          </w:tcPr>
          <w:p w14:paraId="260BDF03" w14:textId="619B9DB0" w:rsidR="00F15231" w:rsidRPr="00F71C01" w:rsidRDefault="007F696B" w:rsidP="00F15231">
            <w:pPr>
              <w:overflowPunct/>
              <w:autoSpaceDE/>
              <w:autoSpaceDN/>
              <w:adjustRightInd/>
              <w:spacing w:after="0"/>
              <w:jc w:val="center"/>
              <w:textAlignment w:val="auto"/>
              <w:rPr>
                <w:rFonts w:asciiTheme="minorHAnsi" w:hAnsiTheme="minorHAnsi"/>
                <w:sz w:val="22"/>
                <w:szCs w:val="22"/>
                <w:lang w:val="en-US" w:eastAsia="sv-SE"/>
              </w:rPr>
            </w:pPr>
            <w:r w:rsidRPr="00F71C01">
              <w:rPr>
                <w:rFonts w:asciiTheme="minorHAnsi" w:hAnsiTheme="minorHAnsi"/>
                <w:sz w:val="22"/>
                <w:szCs w:val="22"/>
                <w:lang w:val="en-US" w:eastAsia="sv-SE"/>
              </w:rPr>
              <w:t>G1</w:t>
            </w:r>
          </w:p>
        </w:tc>
        <w:tc>
          <w:tcPr>
            <w:tcW w:w="680" w:type="dxa"/>
            <w:tcBorders>
              <w:top w:val="nil"/>
              <w:left w:val="nil"/>
              <w:bottom w:val="nil"/>
              <w:right w:val="nil"/>
            </w:tcBorders>
            <w:shd w:val="clear" w:color="auto" w:fill="auto"/>
            <w:noWrap/>
            <w:vAlign w:val="bottom"/>
            <w:hideMark/>
          </w:tcPr>
          <w:p w14:paraId="30773FE5" w14:textId="0C11C1CE" w:rsidR="00F15231" w:rsidRPr="00F71C01" w:rsidRDefault="007F696B" w:rsidP="00F15231">
            <w:pPr>
              <w:overflowPunct/>
              <w:autoSpaceDE/>
              <w:autoSpaceDN/>
              <w:adjustRightInd/>
              <w:spacing w:after="0"/>
              <w:jc w:val="center"/>
              <w:textAlignment w:val="auto"/>
              <w:rPr>
                <w:rFonts w:asciiTheme="minorHAnsi" w:hAnsiTheme="minorHAnsi"/>
                <w:sz w:val="22"/>
                <w:szCs w:val="22"/>
                <w:lang w:val="en-US" w:eastAsia="sv-SE"/>
              </w:rPr>
            </w:pPr>
            <w:r w:rsidRPr="00F71C01">
              <w:rPr>
                <w:rFonts w:asciiTheme="minorHAnsi" w:hAnsiTheme="minorHAnsi"/>
                <w:sz w:val="22"/>
                <w:szCs w:val="22"/>
                <w:lang w:val="en-US" w:eastAsia="sv-SE"/>
              </w:rPr>
              <w:t>G2</w:t>
            </w:r>
          </w:p>
        </w:tc>
      </w:tr>
      <w:tr w:rsidR="00F15231" w:rsidRPr="00F15231" w14:paraId="52F07820" w14:textId="77777777" w:rsidTr="00F15231">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A8024"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1</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4652AFDB"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2</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D314909"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3</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6CBCE5D"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4</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3B89570"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B49A062"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0</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29AC05E"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r w:rsidRPr="00F15231">
              <w:rPr>
                <w:rFonts w:ascii="Calibri" w:hAnsi="Calibri"/>
                <w:color w:val="000000"/>
                <w:sz w:val="22"/>
                <w:szCs w:val="22"/>
                <w:lang w:val="en-US" w:eastAsia="sv-SE"/>
              </w:rPr>
              <w:t> </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5D2BE3A"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0</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0D87602"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1</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B341ABF"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2</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8F2DA11"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3</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7A49F5B"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4</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1825673"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03B654C"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6</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61AA078C" w14:textId="77777777" w:rsidR="00F15231" w:rsidRPr="00F71C01" w:rsidRDefault="00F15231" w:rsidP="00F15231">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7</w:t>
            </w:r>
          </w:p>
        </w:tc>
      </w:tr>
      <w:tr w:rsidR="00F15231" w:rsidRPr="00F15231" w14:paraId="2EA0F702" w14:textId="77777777" w:rsidTr="00F15231">
        <w:trPr>
          <w:trHeight w:val="300"/>
        </w:trPr>
        <w:tc>
          <w:tcPr>
            <w:tcW w:w="680" w:type="dxa"/>
            <w:tcBorders>
              <w:top w:val="nil"/>
              <w:left w:val="nil"/>
              <w:bottom w:val="nil"/>
              <w:right w:val="nil"/>
            </w:tcBorders>
            <w:shd w:val="clear" w:color="auto" w:fill="auto"/>
            <w:noWrap/>
            <w:vAlign w:val="bottom"/>
            <w:hideMark/>
          </w:tcPr>
          <w:p w14:paraId="6E3D3D89"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en-US" w:eastAsia="sv-SE"/>
              </w:rPr>
            </w:pPr>
          </w:p>
        </w:tc>
        <w:tc>
          <w:tcPr>
            <w:tcW w:w="680" w:type="dxa"/>
            <w:tcBorders>
              <w:top w:val="nil"/>
              <w:left w:val="nil"/>
              <w:bottom w:val="nil"/>
              <w:right w:val="nil"/>
            </w:tcBorders>
            <w:shd w:val="clear" w:color="auto" w:fill="auto"/>
            <w:noWrap/>
            <w:vAlign w:val="bottom"/>
            <w:hideMark/>
          </w:tcPr>
          <w:p w14:paraId="3E6EAFC6" w14:textId="77777777" w:rsidR="00F15231" w:rsidRPr="00F15231" w:rsidRDefault="00F15231" w:rsidP="00F15231">
            <w:pPr>
              <w:overflowPunct/>
              <w:autoSpaceDE/>
              <w:autoSpaceDN/>
              <w:adjustRightInd/>
              <w:spacing w:after="0"/>
              <w:jc w:val="center"/>
              <w:textAlignment w:val="auto"/>
              <w:rPr>
                <w:rFonts w:ascii="Times New Roman" w:hAnsi="Times New Roman"/>
                <w:lang w:val="en-US" w:eastAsia="sv-SE"/>
              </w:rPr>
            </w:pPr>
          </w:p>
        </w:tc>
        <w:tc>
          <w:tcPr>
            <w:tcW w:w="680" w:type="dxa"/>
            <w:tcBorders>
              <w:top w:val="nil"/>
              <w:left w:val="nil"/>
              <w:bottom w:val="nil"/>
              <w:right w:val="nil"/>
            </w:tcBorders>
            <w:shd w:val="clear" w:color="auto" w:fill="auto"/>
            <w:noWrap/>
            <w:vAlign w:val="bottom"/>
            <w:hideMark/>
          </w:tcPr>
          <w:p w14:paraId="375A1446" w14:textId="77777777" w:rsidR="00F15231" w:rsidRPr="00F15231" w:rsidRDefault="00F15231" w:rsidP="00F15231">
            <w:pPr>
              <w:overflowPunct/>
              <w:autoSpaceDE/>
              <w:autoSpaceDN/>
              <w:adjustRightInd/>
              <w:spacing w:after="0"/>
              <w:jc w:val="center"/>
              <w:textAlignment w:val="auto"/>
              <w:rPr>
                <w:rFonts w:ascii="Times New Roman" w:hAnsi="Times New Roman"/>
                <w:lang w:val="en-US" w:eastAsia="sv-SE"/>
              </w:rPr>
            </w:pPr>
          </w:p>
        </w:tc>
        <w:tc>
          <w:tcPr>
            <w:tcW w:w="680" w:type="dxa"/>
            <w:tcBorders>
              <w:top w:val="nil"/>
              <w:left w:val="nil"/>
              <w:bottom w:val="nil"/>
              <w:right w:val="nil"/>
            </w:tcBorders>
            <w:shd w:val="clear" w:color="auto" w:fill="auto"/>
            <w:noWrap/>
            <w:vAlign w:val="bottom"/>
            <w:hideMark/>
          </w:tcPr>
          <w:p w14:paraId="15C89700" w14:textId="41241F10" w:rsidR="00F15231" w:rsidRPr="00F15231" w:rsidRDefault="00BF2B05" w:rsidP="00F15231">
            <w:pPr>
              <w:overflowPunct/>
              <w:autoSpaceDE/>
              <w:autoSpaceDN/>
              <w:adjustRightInd/>
              <w:spacing w:after="0"/>
              <w:jc w:val="center"/>
              <w:textAlignment w:val="auto"/>
              <w:rPr>
                <w:rFonts w:ascii="Times New Roman" w:hAnsi="Times New Roman"/>
                <w:lang w:val="en-US" w:eastAsia="sv-SE"/>
              </w:rPr>
            </w:pPr>
            <w:r>
              <w:rPr>
                <w:rFonts w:ascii="Times New Roman" w:hAnsi="Times New Roman"/>
                <w:lang w:val="en-US" w:eastAsia="sv-SE"/>
              </w:rPr>
              <w:t>a1</w:t>
            </w:r>
          </w:p>
        </w:tc>
        <w:tc>
          <w:tcPr>
            <w:tcW w:w="680" w:type="dxa"/>
            <w:tcBorders>
              <w:top w:val="nil"/>
              <w:left w:val="nil"/>
              <w:bottom w:val="nil"/>
              <w:right w:val="nil"/>
            </w:tcBorders>
            <w:shd w:val="clear" w:color="auto" w:fill="auto"/>
            <w:noWrap/>
            <w:vAlign w:val="bottom"/>
            <w:hideMark/>
          </w:tcPr>
          <w:p w14:paraId="4B559F1C" w14:textId="369D8BC1" w:rsidR="00F15231" w:rsidRPr="00F15231" w:rsidRDefault="00BF2B05" w:rsidP="00F15231">
            <w:pPr>
              <w:overflowPunct/>
              <w:autoSpaceDE/>
              <w:autoSpaceDN/>
              <w:adjustRightInd/>
              <w:spacing w:after="0"/>
              <w:jc w:val="center"/>
              <w:textAlignment w:val="auto"/>
              <w:rPr>
                <w:rFonts w:ascii="Times New Roman" w:hAnsi="Times New Roman"/>
                <w:lang w:val="en-US" w:eastAsia="sv-SE"/>
              </w:rPr>
            </w:pPr>
            <w:r>
              <w:rPr>
                <w:rFonts w:ascii="Times New Roman" w:hAnsi="Times New Roman"/>
                <w:lang w:val="en-US" w:eastAsia="sv-SE"/>
              </w:rPr>
              <w:t>a2</w:t>
            </w:r>
          </w:p>
        </w:tc>
        <w:tc>
          <w:tcPr>
            <w:tcW w:w="680" w:type="dxa"/>
            <w:tcBorders>
              <w:top w:val="nil"/>
              <w:left w:val="nil"/>
              <w:bottom w:val="nil"/>
              <w:right w:val="nil"/>
            </w:tcBorders>
            <w:shd w:val="clear" w:color="auto" w:fill="auto"/>
            <w:noWrap/>
            <w:vAlign w:val="bottom"/>
            <w:hideMark/>
          </w:tcPr>
          <w:p w14:paraId="2EC5D348" w14:textId="51D16DC5" w:rsidR="00F15231" w:rsidRPr="00F15231" w:rsidRDefault="00BF2B05" w:rsidP="00F15231">
            <w:pPr>
              <w:overflowPunct/>
              <w:autoSpaceDE/>
              <w:autoSpaceDN/>
              <w:adjustRightInd/>
              <w:spacing w:after="0"/>
              <w:jc w:val="center"/>
              <w:textAlignment w:val="auto"/>
              <w:rPr>
                <w:rFonts w:ascii="Times New Roman" w:hAnsi="Times New Roman"/>
                <w:lang w:val="en-US" w:eastAsia="sv-SE"/>
              </w:rPr>
            </w:pPr>
            <w:r>
              <w:rPr>
                <w:rFonts w:ascii="Times New Roman" w:hAnsi="Times New Roman"/>
                <w:lang w:val="en-US" w:eastAsia="sv-SE"/>
              </w:rPr>
              <w:t>a3</w:t>
            </w:r>
          </w:p>
        </w:tc>
        <w:tc>
          <w:tcPr>
            <w:tcW w:w="680" w:type="dxa"/>
            <w:tcBorders>
              <w:top w:val="nil"/>
              <w:left w:val="nil"/>
              <w:bottom w:val="nil"/>
              <w:right w:val="nil"/>
            </w:tcBorders>
            <w:shd w:val="clear" w:color="auto" w:fill="auto"/>
            <w:noWrap/>
            <w:vAlign w:val="bottom"/>
            <w:hideMark/>
          </w:tcPr>
          <w:p w14:paraId="76475063" w14:textId="51987B2C" w:rsidR="00F15231" w:rsidRPr="00F15231" w:rsidRDefault="00BF2B05" w:rsidP="00F15231">
            <w:pPr>
              <w:overflowPunct/>
              <w:autoSpaceDE/>
              <w:autoSpaceDN/>
              <w:adjustRightInd/>
              <w:spacing w:after="0"/>
              <w:jc w:val="center"/>
              <w:textAlignment w:val="auto"/>
              <w:rPr>
                <w:rFonts w:ascii="Times New Roman" w:hAnsi="Times New Roman"/>
                <w:lang w:val="en-US" w:eastAsia="sv-SE"/>
              </w:rPr>
            </w:pPr>
            <w:r>
              <w:rPr>
                <w:rFonts w:ascii="Times New Roman" w:hAnsi="Times New Roman"/>
                <w:lang w:val="en-US" w:eastAsia="sv-SE"/>
              </w:rPr>
              <w:t>a4</w:t>
            </w:r>
          </w:p>
        </w:tc>
        <w:tc>
          <w:tcPr>
            <w:tcW w:w="680" w:type="dxa"/>
            <w:tcBorders>
              <w:top w:val="nil"/>
              <w:left w:val="nil"/>
              <w:bottom w:val="nil"/>
              <w:right w:val="nil"/>
            </w:tcBorders>
            <w:shd w:val="clear" w:color="auto" w:fill="auto"/>
            <w:noWrap/>
            <w:vAlign w:val="bottom"/>
            <w:hideMark/>
          </w:tcPr>
          <w:p w14:paraId="28E3E100" w14:textId="69B9CC5A" w:rsidR="00F15231" w:rsidRPr="00F15231" w:rsidRDefault="00BF2B05" w:rsidP="00F15231">
            <w:pPr>
              <w:overflowPunct/>
              <w:autoSpaceDE/>
              <w:autoSpaceDN/>
              <w:adjustRightInd/>
              <w:spacing w:after="0"/>
              <w:jc w:val="center"/>
              <w:textAlignment w:val="auto"/>
              <w:rPr>
                <w:rFonts w:ascii="Times New Roman" w:hAnsi="Times New Roman"/>
                <w:lang w:val="en-US" w:eastAsia="sv-SE"/>
              </w:rPr>
            </w:pPr>
            <w:r>
              <w:rPr>
                <w:rFonts w:ascii="Times New Roman" w:hAnsi="Times New Roman"/>
                <w:lang w:val="en-US" w:eastAsia="sv-SE"/>
              </w:rPr>
              <w:t>a5</w:t>
            </w:r>
          </w:p>
        </w:tc>
        <w:tc>
          <w:tcPr>
            <w:tcW w:w="680" w:type="dxa"/>
            <w:tcBorders>
              <w:top w:val="nil"/>
              <w:left w:val="nil"/>
              <w:bottom w:val="nil"/>
              <w:right w:val="nil"/>
            </w:tcBorders>
            <w:shd w:val="clear" w:color="auto" w:fill="auto"/>
            <w:noWrap/>
            <w:vAlign w:val="bottom"/>
            <w:hideMark/>
          </w:tcPr>
          <w:p w14:paraId="493B7A5E" w14:textId="1C19516A" w:rsidR="00F15231" w:rsidRPr="00F15231" w:rsidRDefault="00BF2B05" w:rsidP="00F15231">
            <w:pPr>
              <w:overflowPunct/>
              <w:autoSpaceDE/>
              <w:autoSpaceDN/>
              <w:adjustRightInd/>
              <w:spacing w:after="0"/>
              <w:jc w:val="center"/>
              <w:textAlignment w:val="auto"/>
              <w:rPr>
                <w:rFonts w:ascii="Times New Roman" w:hAnsi="Times New Roman"/>
                <w:lang w:val="en-US" w:eastAsia="sv-SE"/>
              </w:rPr>
            </w:pPr>
            <w:r>
              <w:rPr>
                <w:rFonts w:ascii="Times New Roman" w:hAnsi="Times New Roman"/>
                <w:lang w:val="en-US" w:eastAsia="sv-SE"/>
              </w:rPr>
              <w:t>a0</w:t>
            </w:r>
          </w:p>
        </w:tc>
        <w:tc>
          <w:tcPr>
            <w:tcW w:w="680" w:type="dxa"/>
            <w:tcBorders>
              <w:top w:val="nil"/>
              <w:left w:val="nil"/>
              <w:bottom w:val="nil"/>
              <w:right w:val="nil"/>
            </w:tcBorders>
            <w:shd w:val="clear" w:color="auto" w:fill="auto"/>
            <w:noWrap/>
            <w:vAlign w:val="bottom"/>
            <w:hideMark/>
          </w:tcPr>
          <w:p w14:paraId="09D238ED" w14:textId="77777777" w:rsidR="00F15231" w:rsidRPr="00F15231" w:rsidRDefault="00F15231" w:rsidP="00F15231">
            <w:pPr>
              <w:overflowPunct/>
              <w:autoSpaceDE/>
              <w:autoSpaceDN/>
              <w:adjustRightInd/>
              <w:spacing w:after="0"/>
              <w:jc w:val="center"/>
              <w:textAlignment w:val="auto"/>
              <w:rPr>
                <w:rFonts w:ascii="Times New Roman" w:hAnsi="Times New Roman"/>
                <w:lang w:val="en-US" w:eastAsia="sv-SE"/>
              </w:rPr>
            </w:pPr>
          </w:p>
        </w:tc>
        <w:tc>
          <w:tcPr>
            <w:tcW w:w="680" w:type="dxa"/>
            <w:tcBorders>
              <w:top w:val="nil"/>
              <w:left w:val="nil"/>
              <w:bottom w:val="nil"/>
              <w:right w:val="nil"/>
            </w:tcBorders>
            <w:shd w:val="clear" w:color="auto" w:fill="auto"/>
            <w:noWrap/>
            <w:vAlign w:val="bottom"/>
            <w:hideMark/>
          </w:tcPr>
          <w:p w14:paraId="60DE883B" w14:textId="77777777" w:rsidR="00F15231" w:rsidRPr="00F15231" w:rsidRDefault="00F15231" w:rsidP="00F15231">
            <w:pPr>
              <w:overflowPunct/>
              <w:autoSpaceDE/>
              <w:autoSpaceDN/>
              <w:adjustRightInd/>
              <w:spacing w:after="0"/>
              <w:jc w:val="center"/>
              <w:textAlignment w:val="auto"/>
              <w:rPr>
                <w:rFonts w:ascii="Times New Roman" w:hAnsi="Times New Roman"/>
                <w:lang w:val="en-US" w:eastAsia="sv-SE"/>
              </w:rPr>
            </w:pPr>
          </w:p>
        </w:tc>
        <w:tc>
          <w:tcPr>
            <w:tcW w:w="680" w:type="dxa"/>
            <w:tcBorders>
              <w:top w:val="nil"/>
              <w:left w:val="nil"/>
              <w:bottom w:val="nil"/>
              <w:right w:val="nil"/>
            </w:tcBorders>
            <w:shd w:val="clear" w:color="auto" w:fill="auto"/>
            <w:noWrap/>
            <w:vAlign w:val="bottom"/>
            <w:hideMark/>
          </w:tcPr>
          <w:p w14:paraId="541D18BF"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sv-SE" w:eastAsia="sv-SE"/>
              </w:rPr>
            </w:pPr>
            <w:r w:rsidRPr="00F15231">
              <w:rPr>
                <w:rFonts w:ascii="Calibri" w:hAnsi="Calibri"/>
                <w:color w:val="000000"/>
                <w:sz w:val="22"/>
                <w:szCs w:val="22"/>
                <w:lang w:val="sv-SE" w:eastAsia="sv-SE"/>
              </w:rPr>
              <w:t>A0</w:t>
            </w:r>
          </w:p>
        </w:tc>
        <w:tc>
          <w:tcPr>
            <w:tcW w:w="680" w:type="dxa"/>
            <w:tcBorders>
              <w:top w:val="nil"/>
              <w:left w:val="nil"/>
              <w:bottom w:val="nil"/>
              <w:right w:val="nil"/>
            </w:tcBorders>
            <w:shd w:val="clear" w:color="auto" w:fill="auto"/>
            <w:noWrap/>
            <w:vAlign w:val="bottom"/>
            <w:hideMark/>
          </w:tcPr>
          <w:p w14:paraId="7B4B4501"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sv-SE" w:eastAsia="sv-SE"/>
              </w:rPr>
            </w:pPr>
            <w:r w:rsidRPr="00F15231">
              <w:rPr>
                <w:rFonts w:ascii="Calibri" w:hAnsi="Calibri"/>
                <w:color w:val="000000"/>
                <w:sz w:val="22"/>
                <w:szCs w:val="22"/>
                <w:lang w:val="sv-SE" w:eastAsia="sv-SE"/>
              </w:rPr>
              <w:t>A1</w:t>
            </w:r>
          </w:p>
        </w:tc>
        <w:tc>
          <w:tcPr>
            <w:tcW w:w="680" w:type="dxa"/>
            <w:tcBorders>
              <w:top w:val="nil"/>
              <w:left w:val="nil"/>
              <w:bottom w:val="nil"/>
              <w:right w:val="nil"/>
            </w:tcBorders>
            <w:shd w:val="clear" w:color="auto" w:fill="auto"/>
            <w:noWrap/>
            <w:vAlign w:val="bottom"/>
            <w:hideMark/>
          </w:tcPr>
          <w:p w14:paraId="11A32D9A"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sv-SE" w:eastAsia="sv-SE"/>
              </w:rPr>
            </w:pPr>
            <w:r w:rsidRPr="00F15231">
              <w:rPr>
                <w:rFonts w:ascii="Calibri" w:hAnsi="Calibri"/>
                <w:color w:val="000000"/>
                <w:sz w:val="22"/>
                <w:szCs w:val="22"/>
                <w:lang w:val="sv-SE" w:eastAsia="sv-SE"/>
              </w:rPr>
              <w:t>A2</w:t>
            </w:r>
          </w:p>
        </w:tc>
        <w:tc>
          <w:tcPr>
            <w:tcW w:w="680" w:type="dxa"/>
            <w:tcBorders>
              <w:top w:val="nil"/>
              <w:left w:val="nil"/>
              <w:bottom w:val="nil"/>
              <w:right w:val="nil"/>
            </w:tcBorders>
            <w:shd w:val="clear" w:color="auto" w:fill="auto"/>
            <w:noWrap/>
            <w:vAlign w:val="bottom"/>
            <w:hideMark/>
          </w:tcPr>
          <w:p w14:paraId="3C1938B3" w14:textId="77777777" w:rsidR="00F15231" w:rsidRPr="00F15231" w:rsidRDefault="00F15231" w:rsidP="00F15231">
            <w:pPr>
              <w:overflowPunct/>
              <w:autoSpaceDE/>
              <w:autoSpaceDN/>
              <w:adjustRightInd/>
              <w:spacing w:after="0"/>
              <w:jc w:val="center"/>
              <w:textAlignment w:val="auto"/>
              <w:rPr>
                <w:rFonts w:ascii="Calibri" w:hAnsi="Calibri"/>
                <w:color w:val="000000"/>
                <w:sz w:val="22"/>
                <w:szCs w:val="22"/>
                <w:lang w:val="sv-SE" w:eastAsia="sv-SE"/>
              </w:rPr>
            </w:pPr>
            <w:r w:rsidRPr="00F15231">
              <w:rPr>
                <w:rFonts w:ascii="Calibri" w:hAnsi="Calibri"/>
                <w:color w:val="000000"/>
                <w:sz w:val="22"/>
                <w:szCs w:val="22"/>
                <w:lang w:val="sv-SE" w:eastAsia="sv-SE"/>
              </w:rPr>
              <w:t>A3</w:t>
            </w:r>
          </w:p>
        </w:tc>
      </w:tr>
    </w:tbl>
    <w:p w14:paraId="42E1730F" w14:textId="045CAB9F" w:rsidR="00F5374A" w:rsidRDefault="00F5374A" w:rsidP="00F5374A">
      <w:pPr>
        <w:pStyle w:val="Caption"/>
      </w:pPr>
      <w:r>
        <w:t xml:space="preserve">Figure </w:t>
      </w:r>
      <w:r>
        <w:fldChar w:fldCharType="begin"/>
      </w:r>
      <w:r>
        <w:instrText xml:space="preserve"> SEQ Figure \* ARABIC </w:instrText>
      </w:r>
      <w:r>
        <w:fldChar w:fldCharType="separate"/>
      </w:r>
      <w:r w:rsidR="007052CF">
        <w:rPr>
          <w:noProof/>
        </w:rPr>
        <w:t>2</w:t>
      </w:r>
      <w:r>
        <w:fldChar w:fldCharType="end"/>
      </w:r>
      <w:r>
        <w:t xml:space="preserve"> Example of HP usage for continuous UL scheduling with switch from n+3 to n+4 after 6 TTIs</w:t>
      </w:r>
    </w:p>
    <w:p w14:paraId="4944A097" w14:textId="374AD88B" w:rsidR="00F15231" w:rsidRDefault="00F15231" w:rsidP="006D435B"/>
    <w:p w14:paraId="205321A5" w14:textId="18260381" w:rsidR="004B4AC0" w:rsidRDefault="004B4AC0" w:rsidP="004B4AC0">
      <w:pPr>
        <w:pStyle w:val="Observation"/>
      </w:pPr>
      <w:bookmarkStart w:id="47" w:name="_Toc471969548"/>
      <w:bookmarkStart w:id="48" w:name="_Toc473154617"/>
      <w:bookmarkStart w:id="49" w:name="_Toc473156423"/>
      <w:bookmarkStart w:id="50" w:name="_Toc473687333"/>
      <w:bookmarkStart w:id="51" w:name="_Toc473688710"/>
      <w:bookmarkStart w:id="52" w:name="_Toc473689196"/>
      <w:bookmarkStart w:id="53" w:name="_Toc473695683"/>
      <w:bookmarkStart w:id="54" w:name="_Toc473705528"/>
      <w:bookmarkStart w:id="55" w:name="_Toc473742157"/>
      <w:bookmarkStart w:id="56" w:name="_Toc473749914"/>
      <w:bookmarkStart w:id="57" w:name="_Toc473750821"/>
      <w:bookmarkStart w:id="58" w:name="_Toc473817495"/>
      <w:bookmarkStart w:id="59" w:name="_Toc473885462"/>
      <w:bookmarkStart w:id="60" w:name="_Toc473885605"/>
      <w:bookmarkStart w:id="61" w:name="_Toc473889518"/>
      <w:bookmarkStart w:id="62" w:name="_Toc473907929"/>
      <w:bookmarkStart w:id="63" w:name="_Toc473908109"/>
      <w:bookmarkStart w:id="64" w:name="_Toc473908241"/>
      <w:bookmarkStart w:id="65" w:name="_Toc473908324"/>
      <w:bookmarkStart w:id="66" w:name="_Toc473908567"/>
      <w:r>
        <w:t>When continuously scheduled in UL, before the n+3 to n+4 switch there will be one TTI without any valid grant.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 xml:space="preserve"> </w:t>
      </w:r>
    </w:p>
    <w:p w14:paraId="4D622234" w14:textId="13EDBCFA" w:rsidR="004B4AC0" w:rsidRDefault="00676ECD" w:rsidP="006D435B">
      <w:r>
        <w:t>Like</w:t>
      </w:r>
      <w:r w:rsidR="00D55940">
        <w:t xml:space="preserve"> the switch from </w:t>
      </w:r>
      <w:proofErr w:type="spellStart"/>
      <w:r w:rsidR="00D55940">
        <w:t>sTTI</w:t>
      </w:r>
      <w:proofErr w:type="spellEnd"/>
      <w:r w:rsidR="00D55940">
        <w:t xml:space="preserve"> to n+4 </w:t>
      </w:r>
      <w:r w:rsidR="00D55940">
        <w:fldChar w:fldCharType="begin"/>
      </w:r>
      <w:r w:rsidR="00D55940">
        <w:instrText xml:space="preserve"> REF _Ref473149326 \r \h </w:instrText>
      </w:r>
      <w:r w:rsidR="00D55940">
        <w:fldChar w:fldCharType="separate"/>
      </w:r>
      <w:r w:rsidR="007052CF">
        <w:t>[2]</w:t>
      </w:r>
      <w:r w:rsidR="00D55940">
        <w:fldChar w:fldCharType="end"/>
      </w:r>
      <w:r w:rsidR="00D55940">
        <w:t xml:space="preserve">, the n+3 grant does not define an PHICH in n+4 to listen to after a switch. </w:t>
      </w:r>
      <w:r w:rsidR="007F696B">
        <w:t xml:space="preserve">To have </w:t>
      </w:r>
      <w:r w:rsidR="00D55940">
        <w:t>simple</w:t>
      </w:r>
      <w:r w:rsidR="007F696B">
        <w:t xml:space="preserve"> operation as the switch from </w:t>
      </w:r>
      <w:proofErr w:type="spellStart"/>
      <w:r w:rsidR="007F696B">
        <w:t>sTTI</w:t>
      </w:r>
      <w:proofErr w:type="spellEnd"/>
      <w:r w:rsidR="007F696B">
        <w:t xml:space="preserve"> to n+3/n+4 we suggest to only have adaptive retransmissions after the switch</w:t>
      </w:r>
      <w:r w:rsidR="00D55940">
        <w:t xml:space="preserve"> from n+3 to n+4</w:t>
      </w:r>
      <w:r w:rsidR="007F696B">
        <w:t>.</w:t>
      </w:r>
      <w:r w:rsidR="00D55940">
        <w:t xml:space="preserve"> </w:t>
      </w:r>
    </w:p>
    <w:p w14:paraId="279BDB3A" w14:textId="28DD7177" w:rsidR="009436E4" w:rsidRDefault="009436E4" w:rsidP="009436E4">
      <w:pPr>
        <w:pStyle w:val="Observation"/>
      </w:pPr>
      <w:bookmarkStart w:id="67" w:name="_Toc473817496"/>
      <w:bookmarkStart w:id="68" w:name="_Toc473885463"/>
      <w:bookmarkStart w:id="69" w:name="_Toc473885606"/>
      <w:bookmarkStart w:id="70" w:name="_Toc473889519"/>
      <w:bookmarkStart w:id="71" w:name="_Toc473907930"/>
      <w:bookmarkStart w:id="72" w:name="_Toc473908110"/>
      <w:bookmarkStart w:id="73" w:name="_Toc473908242"/>
      <w:bookmarkStart w:id="74" w:name="_Toc473908325"/>
      <w:bookmarkStart w:id="75" w:name="_Toc473908568"/>
      <w:r>
        <w:t>It is complex to connect n+3 grants to a PHICH after a switch from n+3 to n+4 synchronous UL HARQ without collisions on PHICH.</w:t>
      </w:r>
      <w:bookmarkEnd w:id="67"/>
      <w:bookmarkEnd w:id="68"/>
      <w:bookmarkEnd w:id="69"/>
      <w:bookmarkEnd w:id="70"/>
      <w:bookmarkEnd w:id="71"/>
      <w:bookmarkEnd w:id="72"/>
      <w:bookmarkEnd w:id="73"/>
      <w:bookmarkEnd w:id="74"/>
      <w:bookmarkEnd w:id="75"/>
      <w:r>
        <w:t xml:space="preserve"> </w:t>
      </w:r>
    </w:p>
    <w:p w14:paraId="3C7B40E1" w14:textId="2F9C63DC" w:rsidR="00D42CE6" w:rsidRDefault="00D42CE6" w:rsidP="00D42CE6">
      <w:r>
        <w:t xml:space="preserve">For switching from n+3 to n+4 synchronous operations, we should consider that n+4 synchronous does not signal the redundancy version, RV, in the DCI – this can be solved by requiring adaptive retransmissions after the switch. This is less flexible than asynchronous operation and might result in extra delay as retransmissions must wait for the correct SFN and subframe. </w:t>
      </w:r>
    </w:p>
    <w:p w14:paraId="04007986" w14:textId="04B225AF" w:rsidR="00D55940" w:rsidRPr="00A04F49" w:rsidRDefault="00F75A64" w:rsidP="00D55940">
      <w:pPr>
        <w:pStyle w:val="Proposal"/>
      </w:pPr>
      <w:bookmarkStart w:id="76" w:name="_Toc473885612"/>
      <w:bookmarkStart w:id="77" w:name="_Toc473889525"/>
      <w:bookmarkStart w:id="78" w:name="_Toc473907935"/>
      <w:bookmarkStart w:id="79" w:name="_Toc473908116"/>
      <w:bookmarkStart w:id="80" w:name="_Toc473908248"/>
      <w:bookmarkStart w:id="81" w:name="_Toc473908330"/>
      <w:bookmarkStart w:id="82" w:name="_Toc473908573"/>
      <w:bookmarkStart w:id="83" w:name="_Toc473156424"/>
      <w:bookmarkStart w:id="84" w:name="_Toc473687336"/>
      <w:bookmarkStart w:id="85" w:name="_Toc473688714"/>
      <w:bookmarkStart w:id="86" w:name="_Toc473689201"/>
      <w:bookmarkStart w:id="87" w:name="_Toc473695688"/>
      <w:bookmarkStart w:id="88" w:name="_Toc473705533"/>
      <w:bookmarkStart w:id="89" w:name="_Toc473742160"/>
      <w:bookmarkStart w:id="90" w:name="_Toc473749920"/>
      <w:bookmarkStart w:id="91" w:name="_Toc473750827"/>
      <w:bookmarkStart w:id="92" w:name="_Toc473817502"/>
      <w:bookmarkStart w:id="93" w:name="_Toc473885470"/>
      <w:bookmarkStart w:id="94" w:name="_Toc473885613"/>
      <w:bookmarkStart w:id="95" w:name="_Toc473889526"/>
      <w:bookmarkStart w:id="96" w:name="_Toc473907936"/>
      <w:bookmarkStart w:id="97" w:name="_Toc473908117"/>
      <w:bookmarkStart w:id="98" w:name="_Toc473908249"/>
      <w:bookmarkStart w:id="99" w:name="_Toc473908331"/>
      <w:bookmarkStart w:id="100" w:name="_Toc473908574"/>
      <w:bookmarkEnd w:id="76"/>
      <w:bookmarkEnd w:id="77"/>
      <w:bookmarkEnd w:id="78"/>
      <w:bookmarkEnd w:id="79"/>
      <w:bookmarkEnd w:id="80"/>
      <w:bookmarkEnd w:id="81"/>
      <w:bookmarkEnd w:id="82"/>
      <w:r>
        <w:t>Allow</w:t>
      </w:r>
      <w:r w:rsidR="00D55940">
        <w:t xml:space="preserve"> only adaptive retransmissions</w:t>
      </w:r>
      <w:r w:rsidR="00314CC8">
        <w:t>,</w:t>
      </w:r>
      <w:r w:rsidR="00D55940">
        <w:t xml:space="preserve"> of HPs </w:t>
      </w:r>
      <w:r w:rsidR="00314CC8">
        <w:t xml:space="preserve">initially sent before the switch, </w:t>
      </w:r>
      <w:r w:rsidR="00D55940">
        <w:t xml:space="preserve">after a switch to </w:t>
      </w:r>
      <w:r w:rsidR="00DF71CF">
        <w:t xml:space="preserve">synchronous </w:t>
      </w:r>
      <w:r w:rsidR="00D55940">
        <w:t>n+4 operation</w:t>
      </w:r>
      <w:r w:rsidR="00D55940" w:rsidRPr="00A04F49">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00D55940">
        <w:t xml:space="preserve"> </w:t>
      </w:r>
    </w:p>
    <w:p w14:paraId="4B04BEE7" w14:textId="4766E2E9" w:rsidR="00E721A9" w:rsidRDefault="00E721A9" w:rsidP="00E721A9">
      <w:pPr>
        <w:pStyle w:val="Proposal"/>
      </w:pPr>
      <w:bookmarkStart w:id="101" w:name="_Toc473908115"/>
      <w:bookmarkStart w:id="102" w:name="_Toc473908247"/>
      <w:bookmarkStart w:id="103" w:name="_Toc473908332"/>
      <w:bookmarkStart w:id="104" w:name="_Toc473908575"/>
      <w:r w:rsidRPr="00F75A64">
        <w:t xml:space="preserve">As switching to n+4 synchronous </w:t>
      </w:r>
      <w:r>
        <w:t xml:space="preserve">operations </w:t>
      </w:r>
      <w:r w:rsidRPr="00F75A64">
        <w:t xml:space="preserve">is a </w:t>
      </w:r>
      <w:proofErr w:type="spellStart"/>
      <w:r w:rsidRPr="00F75A64">
        <w:t>fallback</w:t>
      </w:r>
      <w:proofErr w:type="spellEnd"/>
      <w:r w:rsidRPr="00F75A64">
        <w:t xml:space="preserve"> case</w:t>
      </w:r>
      <w:r w:rsidR="00AA55BD">
        <w:t xml:space="preserve"> not often expected</w:t>
      </w:r>
      <w:r w:rsidRPr="00F75A64">
        <w:t xml:space="preserve">, we do not need to optimize </w:t>
      </w:r>
      <w:r>
        <w:t>for lossless switching.</w:t>
      </w:r>
      <w:bookmarkEnd w:id="101"/>
      <w:bookmarkEnd w:id="102"/>
      <w:bookmarkEnd w:id="103"/>
      <w:bookmarkEnd w:id="104"/>
      <w:r>
        <w:t xml:space="preserve"> </w:t>
      </w:r>
    </w:p>
    <w:p w14:paraId="28FE1D14" w14:textId="77777777" w:rsidR="007F696B" w:rsidRDefault="007F696B" w:rsidP="006D435B"/>
    <w:p w14:paraId="2AFBC03A" w14:textId="77777777" w:rsidR="002114F4" w:rsidRDefault="002114F4" w:rsidP="002114F4">
      <w:pPr>
        <w:pStyle w:val="Heading2"/>
      </w:pPr>
      <w:r>
        <w:t>Switching from n+4 to n+3:</w:t>
      </w:r>
    </w:p>
    <w:p w14:paraId="7DF1C074" w14:textId="53C30A66" w:rsidR="002114F4" w:rsidRDefault="00BF2B05" w:rsidP="002114F4">
      <w:r>
        <w:t>C</w:t>
      </w:r>
      <w:r w:rsidR="002114F4">
        <w:t xml:space="preserve">ontinuous scheduling in DL is straight forward, the only issue is that feedback for two TTIs </w:t>
      </w:r>
      <w:r w:rsidR="00C324BB">
        <w:t>should</w:t>
      </w:r>
      <w:r w:rsidR="002114F4">
        <w:t xml:space="preserve"> </w:t>
      </w:r>
      <w:r w:rsidR="00C324BB">
        <w:t xml:space="preserve">be </w:t>
      </w:r>
      <w:r w:rsidR="002114F4">
        <w:t>transmitted on PUCCH/PUSCH in the same TTI, se example</w:t>
      </w:r>
      <w:r w:rsidR="00D55940">
        <w:t xml:space="preserve"> in </w:t>
      </w:r>
      <w:r w:rsidR="00901EB3">
        <w:t xml:space="preserve">Figure 3 </w:t>
      </w:r>
      <w:r w:rsidR="002114F4">
        <w:t>below</w:t>
      </w:r>
      <w:r w:rsidR="00D55940">
        <w:t>. In the figure</w:t>
      </w:r>
      <w:r w:rsidR="002114F4">
        <w:t xml:space="preserve"> </w:t>
      </w:r>
      <w:r w:rsidR="00D55940">
        <w:t xml:space="preserve">the </w:t>
      </w:r>
      <w:r w:rsidR="002114F4">
        <w:t xml:space="preserve">first eight </w:t>
      </w:r>
      <w:r w:rsidR="00D55940">
        <w:t>boxes have the HP</w:t>
      </w:r>
      <w:r w:rsidR="003E15DF">
        <w:t xml:space="preserve"> </w:t>
      </w:r>
      <w:r w:rsidR="00C324BB">
        <w:t>number</w:t>
      </w:r>
      <w:r w:rsidR="00D55940">
        <w:t xml:space="preserve">s of </w:t>
      </w:r>
      <w:r w:rsidR="002114F4">
        <w:t xml:space="preserve">n+4 scheduled </w:t>
      </w:r>
      <w:r w:rsidR="00D55940">
        <w:t xml:space="preserve">data </w:t>
      </w:r>
      <w:r w:rsidR="002114F4">
        <w:t xml:space="preserve">and the next six are </w:t>
      </w:r>
      <w:r w:rsidR="00D55940">
        <w:t>HP</w:t>
      </w:r>
      <w:r w:rsidR="003E15DF">
        <w:t xml:space="preserve"> </w:t>
      </w:r>
      <w:r w:rsidR="00C324BB">
        <w:t>number</w:t>
      </w:r>
      <w:r w:rsidR="00D55940">
        <w:t>s scheduled with n+3</w:t>
      </w:r>
      <w:r w:rsidR="009A4C14">
        <w:t xml:space="preserve"> (indicated by green back ground)</w:t>
      </w:r>
      <w:r w:rsidR="00D55940">
        <w:t xml:space="preserve">. The row after the boxes are the HARQ feedback for n+4 scheduled data and last row is the HARQ feedback for n+3 scheduled data. </w:t>
      </w:r>
    </w:p>
    <w:tbl>
      <w:tblPr>
        <w:tblW w:w="9709" w:type="dxa"/>
        <w:tblInd w:w="70" w:type="dxa"/>
        <w:tblLayout w:type="fixed"/>
        <w:tblCellMar>
          <w:left w:w="70" w:type="dxa"/>
          <w:right w:w="70" w:type="dxa"/>
        </w:tblCellMar>
        <w:tblLook w:val="04A0" w:firstRow="1" w:lastRow="0" w:firstColumn="1" w:lastColumn="0" w:noHBand="0" w:noVBand="1"/>
      </w:tblPr>
      <w:tblGrid>
        <w:gridCol w:w="695"/>
        <w:gridCol w:w="696"/>
        <w:gridCol w:w="693"/>
        <w:gridCol w:w="6"/>
        <w:gridCol w:w="692"/>
        <w:gridCol w:w="6"/>
        <w:gridCol w:w="688"/>
        <w:gridCol w:w="7"/>
        <w:gridCol w:w="686"/>
        <w:gridCol w:w="8"/>
        <w:gridCol w:w="684"/>
        <w:gridCol w:w="11"/>
        <w:gridCol w:w="682"/>
        <w:gridCol w:w="12"/>
        <w:gridCol w:w="680"/>
        <w:gridCol w:w="15"/>
        <w:gridCol w:w="678"/>
        <w:gridCol w:w="17"/>
        <w:gridCol w:w="675"/>
        <w:gridCol w:w="19"/>
        <w:gridCol w:w="674"/>
        <w:gridCol w:w="21"/>
        <w:gridCol w:w="671"/>
        <w:gridCol w:w="24"/>
        <w:gridCol w:w="669"/>
      </w:tblGrid>
      <w:tr w:rsidR="002114F4" w:rsidRPr="00BD4055" w14:paraId="053C7E12" w14:textId="77777777" w:rsidTr="00211F98">
        <w:trPr>
          <w:gridAfter w:val="1"/>
          <w:wAfter w:w="669" w:type="dxa"/>
          <w:trHeight w:val="300"/>
        </w:trPr>
        <w:tc>
          <w:tcPr>
            <w:tcW w:w="695" w:type="dxa"/>
            <w:tcBorders>
              <w:top w:val="nil"/>
              <w:left w:val="nil"/>
              <w:bottom w:val="nil"/>
              <w:right w:val="nil"/>
            </w:tcBorders>
            <w:shd w:val="clear" w:color="auto" w:fill="auto"/>
            <w:noWrap/>
            <w:vAlign w:val="bottom"/>
          </w:tcPr>
          <w:p w14:paraId="3E712FAE" w14:textId="77777777" w:rsidR="002114F4" w:rsidRPr="00BD4055" w:rsidRDefault="002114F4" w:rsidP="00513508">
            <w:pPr>
              <w:overflowPunct/>
              <w:autoSpaceDE/>
              <w:autoSpaceDN/>
              <w:adjustRightInd/>
              <w:spacing w:after="0"/>
              <w:jc w:val="left"/>
              <w:textAlignment w:val="auto"/>
              <w:rPr>
                <w:rFonts w:ascii="Calibri" w:hAnsi="Calibri"/>
                <w:color w:val="000000"/>
                <w:sz w:val="22"/>
                <w:szCs w:val="22"/>
                <w:lang w:eastAsia="sv-SE"/>
              </w:rPr>
            </w:pPr>
          </w:p>
        </w:tc>
        <w:tc>
          <w:tcPr>
            <w:tcW w:w="696" w:type="dxa"/>
            <w:tcBorders>
              <w:top w:val="nil"/>
              <w:left w:val="nil"/>
              <w:bottom w:val="nil"/>
              <w:right w:val="nil"/>
            </w:tcBorders>
            <w:shd w:val="clear" w:color="auto" w:fill="auto"/>
            <w:noWrap/>
            <w:vAlign w:val="bottom"/>
            <w:hideMark/>
          </w:tcPr>
          <w:p w14:paraId="173F04B3" w14:textId="77777777" w:rsidR="002114F4" w:rsidRPr="00BD4055" w:rsidRDefault="002114F4" w:rsidP="00513508">
            <w:pPr>
              <w:overflowPunct/>
              <w:autoSpaceDE/>
              <w:autoSpaceDN/>
              <w:adjustRightInd/>
              <w:spacing w:after="0"/>
              <w:jc w:val="left"/>
              <w:textAlignment w:val="auto"/>
              <w:rPr>
                <w:rFonts w:ascii="Calibri" w:hAnsi="Calibri"/>
                <w:color w:val="000000"/>
                <w:sz w:val="22"/>
                <w:szCs w:val="22"/>
                <w:lang w:val="en-US" w:eastAsia="sv-SE"/>
              </w:rPr>
            </w:pPr>
          </w:p>
        </w:tc>
        <w:tc>
          <w:tcPr>
            <w:tcW w:w="699" w:type="dxa"/>
            <w:gridSpan w:val="2"/>
            <w:tcBorders>
              <w:top w:val="nil"/>
              <w:left w:val="nil"/>
              <w:bottom w:val="nil"/>
              <w:right w:val="nil"/>
            </w:tcBorders>
            <w:shd w:val="clear" w:color="auto" w:fill="auto"/>
            <w:noWrap/>
            <w:vAlign w:val="bottom"/>
            <w:hideMark/>
          </w:tcPr>
          <w:p w14:paraId="67A3FC60"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8" w:type="dxa"/>
            <w:gridSpan w:val="2"/>
            <w:tcBorders>
              <w:top w:val="nil"/>
              <w:left w:val="nil"/>
              <w:bottom w:val="nil"/>
              <w:right w:val="nil"/>
            </w:tcBorders>
            <w:shd w:val="clear" w:color="auto" w:fill="auto"/>
            <w:noWrap/>
            <w:vAlign w:val="bottom"/>
            <w:hideMark/>
          </w:tcPr>
          <w:p w14:paraId="1915D54E"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5" w:type="dxa"/>
            <w:gridSpan w:val="2"/>
            <w:tcBorders>
              <w:top w:val="nil"/>
              <w:left w:val="nil"/>
              <w:bottom w:val="nil"/>
              <w:right w:val="nil"/>
            </w:tcBorders>
            <w:shd w:val="clear" w:color="auto" w:fill="auto"/>
            <w:noWrap/>
            <w:vAlign w:val="bottom"/>
            <w:hideMark/>
          </w:tcPr>
          <w:p w14:paraId="75A4D06C"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4" w:type="dxa"/>
            <w:gridSpan w:val="2"/>
            <w:tcBorders>
              <w:top w:val="nil"/>
              <w:left w:val="nil"/>
              <w:bottom w:val="nil"/>
              <w:right w:val="nil"/>
            </w:tcBorders>
            <w:shd w:val="clear" w:color="auto" w:fill="auto"/>
            <w:noWrap/>
            <w:vAlign w:val="bottom"/>
            <w:hideMark/>
          </w:tcPr>
          <w:p w14:paraId="4EDCBD30"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5" w:type="dxa"/>
            <w:gridSpan w:val="2"/>
            <w:tcBorders>
              <w:top w:val="nil"/>
              <w:left w:val="nil"/>
              <w:bottom w:val="nil"/>
              <w:right w:val="nil"/>
            </w:tcBorders>
            <w:shd w:val="clear" w:color="auto" w:fill="auto"/>
            <w:noWrap/>
            <w:vAlign w:val="bottom"/>
            <w:hideMark/>
          </w:tcPr>
          <w:tbl>
            <w:tblPr>
              <w:tblW w:w="0" w:type="auto"/>
              <w:tblCellSpacing w:w="0" w:type="dxa"/>
              <w:tblLayout w:type="fixed"/>
              <w:tblCellMar>
                <w:left w:w="0" w:type="dxa"/>
                <w:right w:w="0" w:type="dxa"/>
              </w:tblCellMar>
              <w:tblLook w:val="04A0" w:firstRow="1" w:lastRow="0" w:firstColumn="1" w:lastColumn="0" w:noHBand="0" w:noVBand="1"/>
            </w:tblPr>
            <w:tblGrid>
              <w:gridCol w:w="932"/>
            </w:tblGrid>
            <w:tr w:rsidR="002114F4" w:rsidRPr="00BD4055" w14:paraId="52CF02F6" w14:textId="77777777" w:rsidTr="00513508">
              <w:trPr>
                <w:trHeight w:val="300"/>
                <w:tblCellSpacing w:w="0" w:type="dxa"/>
              </w:trPr>
              <w:tc>
                <w:tcPr>
                  <w:tcW w:w="932" w:type="dxa"/>
                  <w:tcBorders>
                    <w:top w:val="nil"/>
                    <w:left w:val="nil"/>
                    <w:bottom w:val="nil"/>
                    <w:right w:val="nil"/>
                  </w:tcBorders>
                  <w:shd w:val="clear" w:color="auto" w:fill="auto"/>
                  <w:noWrap/>
                  <w:vAlign w:val="bottom"/>
                  <w:hideMark/>
                </w:tcPr>
                <w:p w14:paraId="0552C151" w14:textId="77777777" w:rsidR="002114F4" w:rsidRPr="00BD4055" w:rsidRDefault="002114F4" w:rsidP="00513508">
                  <w:pPr>
                    <w:overflowPunct/>
                    <w:autoSpaceDE/>
                    <w:autoSpaceDN/>
                    <w:adjustRightInd/>
                    <w:spacing w:after="0"/>
                    <w:jc w:val="left"/>
                    <w:textAlignment w:val="auto"/>
                    <w:rPr>
                      <w:rFonts w:ascii="Calibri" w:hAnsi="Calibri"/>
                      <w:color w:val="000000"/>
                      <w:sz w:val="22"/>
                      <w:szCs w:val="22"/>
                      <w:lang w:val="en-US" w:eastAsia="sv-SE"/>
                    </w:rPr>
                  </w:pPr>
                </w:p>
              </w:tc>
            </w:tr>
          </w:tbl>
          <w:p w14:paraId="6AB17C98" w14:textId="77777777" w:rsidR="002114F4" w:rsidRPr="00BD4055" w:rsidRDefault="002114F4" w:rsidP="00513508">
            <w:pPr>
              <w:overflowPunct/>
              <w:autoSpaceDE/>
              <w:autoSpaceDN/>
              <w:adjustRightInd/>
              <w:spacing w:after="0"/>
              <w:jc w:val="left"/>
              <w:textAlignment w:val="auto"/>
              <w:rPr>
                <w:rFonts w:ascii="Calibri" w:hAnsi="Calibri"/>
                <w:color w:val="000000"/>
                <w:sz w:val="22"/>
                <w:szCs w:val="22"/>
                <w:lang w:val="en-US" w:eastAsia="sv-SE"/>
              </w:rPr>
            </w:pPr>
          </w:p>
        </w:tc>
        <w:tc>
          <w:tcPr>
            <w:tcW w:w="694" w:type="dxa"/>
            <w:gridSpan w:val="2"/>
            <w:tcBorders>
              <w:top w:val="nil"/>
              <w:left w:val="nil"/>
              <w:bottom w:val="nil"/>
              <w:right w:val="nil"/>
            </w:tcBorders>
            <w:shd w:val="clear" w:color="auto" w:fill="auto"/>
            <w:noWrap/>
            <w:vAlign w:val="bottom"/>
            <w:hideMark/>
          </w:tcPr>
          <w:p w14:paraId="3605BC45" w14:textId="77777777" w:rsidR="002114F4" w:rsidRPr="00BD4055" w:rsidRDefault="002114F4" w:rsidP="00513508">
            <w:pPr>
              <w:overflowPunct/>
              <w:autoSpaceDE/>
              <w:autoSpaceDN/>
              <w:adjustRightInd/>
              <w:spacing w:after="0"/>
              <w:jc w:val="left"/>
              <w:textAlignment w:val="auto"/>
              <w:rPr>
                <w:rFonts w:ascii="Times New Roman" w:hAnsi="Times New Roman"/>
                <w:lang w:val="en-US" w:eastAsia="sv-SE"/>
              </w:rPr>
            </w:pPr>
          </w:p>
        </w:tc>
        <w:tc>
          <w:tcPr>
            <w:tcW w:w="695" w:type="dxa"/>
            <w:gridSpan w:val="2"/>
            <w:tcBorders>
              <w:top w:val="nil"/>
              <w:left w:val="nil"/>
              <w:bottom w:val="nil"/>
              <w:right w:val="nil"/>
            </w:tcBorders>
            <w:shd w:val="clear" w:color="auto" w:fill="auto"/>
            <w:noWrap/>
            <w:vAlign w:val="bottom"/>
            <w:hideMark/>
          </w:tcPr>
          <w:p w14:paraId="15146FDF"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5" w:type="dxa"/>
            <w:gridSpan w:val="2"/>
            <w:tcBorders>
              <w:top w:val="nil"/>
              <w:left w:val="nil"/>
              <w:bottom w:val="nil"/>
              <w:right w:val="nil"/>
            </w:tcBorders>
            <w:shd w:val="clear" w:color="auto" w:fill="auto"/>
            <w:noWrap/>
            <w:vAlign w:val="bottom"/>
            <w:hideMark/>
          </w:tcPr>
          <w:p w14:paraId="4C147875"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4" w:type="dxa"/>
            <w:gridSpan w:val="2"/>
            <w:tcBorders>
              <w:top w:val="nil"/>
              <w:left w:val="nil"/>
              <w:bottom w:val="nil"/>
              <w:right w:val="nil"/>
            </w:tcBorders>
            <w:shd w:val="clear" w:color="auto" w:fill="auto"/>
            <w:noWrap/>
            <w:vAlign w:val="bottom"/>
            <w:hideMark/>
          </w:tcPr>
          <w:p w14:paraId="485DEE0E"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5" w:type="dxa"/>
            <w:gridSpan w:val="2"/>
            <w:tcBorders>
              <w:top w:val="nil"/>
              <w:left w:val="nil"/>
              <w:bottom w:val="nil"/>
              <w:right w:val="nil"/>
            </w:tcBorders>
            <w:shd w:val="clear" w:color="auto" w:fill="auto"/>
            <w:noWrap/>
            <w:vAlign w:val="bottom"/>
            <w:hideMark/>
          </w:tcPr>
          <w:p w14:paraId="568268D9"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c>
          <w:tcPr>
            <w:tcW w:w="695" w:type="dxa"/>
            <w:gridSpan w:val="2"/>
            <w:tcBorders>
              <w:top w:val="nil"/>
              <w:left w:val="nil"/>
              <w:bottom w:val="nil"/>
              <w:right w:val="nil"/>
            </w:tcBorders>
            <w:shd w:val="clear" w:color="auto" w:fill="auto"/>
            <w:noWrap/>
            <w:vAlign w:val="bottom"/>
            <w:hideMark/>
          </w:tcPr>
          <w:p w14:paraId="63FD3DE6" w14:textId="77777777" w:rsidR="002114F4" w:rsidRPr="00BD4055" w:rsidRDefault="002114F4" w:rsidP="00513508">
            <w:pPr>
              <w:overflowPunct/>
              <w:autoSpaceDE/>
              <w:autoSpaceDN/>
              <w:adjustRightInd/>
              <w:spacing w:after="0"/>
              <w:jc w:val="center"/>
              <w:textAlignment w:val="auto"/>
              <w:rPr>
                <w:rFonts w:ascii="Times New Roman" w:hAnsi="Times New Roman"/>
                <w:lang w:val="en-US" w:eastAsia="sv-SE"/>
              </w:rPr>
            </w:pPr>
          </w:p>
        </w:tc>
      </w:tr>
      <w:tr w:rsidR="002114F4" w:rsidRPr="00BD4055" w14:paraId="2C16365C" w14:textId="77777777" w:rsidTr="00211F98">
        <w:trPr>
          <w:trHeight w:val="300"/>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D2006"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0</w:t>
            </w:r>
          </w:p>
        </w:tc>
        <w:tc>
          <w:tcPr>
            <w:tcW w:w="696" w:type="dxa"/>
            <w:tcBorders>
              <w:top w:val="single" w:sz="4" w:space="0" w:color="auto"/>
              <w:left w:val="nil"/>
              <w:bottom w:val="single" w:sz="4" w:space="0" w:color="auto"/>
              <w:right w:val="single" w:sz="4" w:space="0" w:color="auto"/>
            </w:tcBorders>
            <w:shd w:val="clear" w:color="auto" w:fill="auto"/>
            <w:noWrap/>
            <w:vAlign w:val="bottom"/>
            <w:hideMark/>
          </w:tcPr>
          <w:p w14:paraId="7E827BD0"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1</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6ED4E1A8"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2</w:t>
            </w:r>
          </w:p>
        </w:tc>
        <w:tc>
          <w:tcPr>
            <w:tcW w:w="6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E1D70D"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3</w:t>
            </w:r>
          </w:p>
        </w:tc>
        <w:tc>
          <w:tcPr>
            <w:tcW w:w="69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03F2A7"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4</w:t>
            </w:r>
          </w:p>
        </w:tc>
        <w:tc>
          <w:tcPr>
            <w:tcW w:w="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80BDEB"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5</w:t>
            </w:r>
          </w:p>
        </w:tc>
        <w:tc>
          <w:tcPr>
            <w:tcW w:w="6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02C4A0"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6</w:t>
            </w:r>
          </w:p>
        </w:tc>
        <w:tc>
          <w:tcPr>
            <w:tcW w:w="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3E0950"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7</w:t>
            </w:r>
          </w:p>
        </w:tc>
        <w:tc>
          <w:tcPr>
            <w:tcW w:w="6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F81E13"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0</w:t>
            </w:r>
          </w:p>
        </w:tc>
        <w:tc>
          <w:tcPr>
            <w:tcW w:w="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A69AD7"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1</w:t>
            </w:r>
          </w:p>
        </w:tc>
        <w:tc>
          <w:tcPr>
            <w:tcW w:w="6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8EFF13"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2</w:t>
            </w:r>
          </w:p>
        </w:tc>
        <w:tc>
          <w:tcPr>
            <w:tcW w:w="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C54FF"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3</w:t>
            </w:r>
          </w:p>
        </w:tc>
        <w:tc>
          <w:tcPr>
            <w:tcW w:w="6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BB56CFC"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4</w:t>
            </w:r>
          </w:p>
        </w:tc>
        <w:tc>
          <w:tcPr>
            <w:tcW w:w="6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230225"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sv-SE" w:eastAsia="sv-SE"/>
              </w:rPr>
            </w:pPr>
            <w:r w:rsidRPr="00F71C01">
              <w:rPr>
                <w:rFonts w:ascii="Calibri" w:hAnsi="Calibri"/>
                <w:color w:val="000000"/>
                <w:sz w:val="22"/>
                <w:szCs w:val="22"/>
                <w:highlight w:val="green"/>
                <w:lang w:val="sv-SE" w:eastAsia="sv-SE"/>
              </w:rPr>
              <w:t>5</w:t>
            </w:r>
          </w:p>
        </w:tc>
      </w:tr>
      <w:tr w:rsidR="002114F4" w:rsidRPr="00BD4055" w14:paraId="5F7AF561" w14:textId="77777777" w:rsidTr="00211F98">
        <w:trPr>
          <w:trHeight w:val="300"/>
        </w:trPr>
        <w:tc>
          <w:tcPr>
            <w:tcW w:w="695" w:type="dxa"/>
            <w:tcBorders>
              <w:top w:val="nil"/>
              <w:left w:val="nil"/>
              <w:bottom w:val="nil"/>
              <w:right w:val="nil"/>
            </w:tcBorders>
            <w:shd w:val="clear" w:color="auto" w:fill="auto"/>
            <w:noWrap/>
            <w:vAlign w:val="bottom"/>
            <w:hideMark/>
          </w:tcPr>
          <w:p w14:paraId="6B303711"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p>
        </w:tc>
        <w:tc>
          <w:tcPr>
            <w:tcW w:w="696" w:type="dxa"/>
            <w:tcBorders>
              <w:top w:val="nil"/>
              <w:left w:val="nil"/>
              <w:bottom w:val="nil"/>
              <w:right w:val="nil"/>
            </w:tcBorders>
            <w:shd w:val="clear" w:color="auto" w:fill="auto"/>
            <w:noWrap/>
            <w:vAlign w:val="bottom"/>
            <w:hideMark/>
          </w:tcPr>
          <w:p w14:paraId="33BD8A9A"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3" w:type="dxa"/>
            <w:tcBorders>
              <w:top w:val="nil"/>
              <w:left w:val="nil"/>
              <w:bottom w:val="nil"/>
              <w:right w:val="nil"/>
            </w:tcBorders>
            <w:shd w:val="clear" w:color="auto" w:fill="auto"/>
            <w:noWrap/>
            <w:vAlign w:val="bottom"/>
            <w:hideMark/>
          </w:tcPr>
          <w:p w14:paraId="097B0081"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8" w:type="dxa"/>
            <w:gridSpan w:val="2"/>
            <w:tcBorders>
              <w:top w:val="nil"/>
              <w:left w:val="nil"/>
              <w:bottom w:val="nil"/>
              <w:right w:val="nil"/>
            </w:tcBorders>
            <w:shd w:val="clear" w:color="auto" w:fill="auto"/>
            <w:noWrap/>
            <w:vAlign w:val="bottom"/>
            <w:hideMark/>
          </w:tcPr>
          <w:p w14:paraId="4ECEFE13"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4" w:type="dxa"/>
            <w:gridSpan w:val="2"/>
            <w:tcBorders>
              <w:top w:val="nil"/>
              <w:left w:val="nil"/>
              <w:bottom w:val="nil"/>
              <w:right w:val="nil"/>
            </w:tcBorders>
            <w:shd w:val="clear" w:color="auto" w:fill="auto"/>
            <w:noWrap/>
            <w:vAlign w:val="bottom"/>
            <w:hideMark/>
          </w:tcPr>
          <w:p w14:paraId="75F5F4FE"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A0</w:t>
            </w:r>
          </w:p>
        </w:tc>
        <w:tc>
          <w:tcPr>
            <w:tcW w:w="693" w:type="dxa"/>
            <w:gridSpan w:val="2"/>
            <w:tcBorders>
              <w:top w:val="nil"/>
              <w:left w:val="nil"/>
              <w:bottom w:val="nil"/>
              <w:right w:val="nil"/>
            </w:tcBorders>
            <w:shd w:val="clear" w:color="auto" w:fill="auto"/>
            <w:noWrap/>
            <w:vAlign w:val="bottom"/>
            <w:hideMark/>
          </w:tcPr>
          <w:p w14:paraId="77C4A929"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A1</w:t>
            </w:r>
          </w:p>
        </w:tc>
        <w:tc>
          <w:tcPr>
            <w:tcW w:w="692" w:type="dxa"/>
            <w:gridSpan w:val="2"/>
            <w:tcBorders>
              <w:top w:val="nil"/>
              <w:left w:val="nil"/>
              <w:bottom w:val="nil"/>
              <w:right w:val="nil"/>
            </w:tcBorders>
            <w:shd w:val="clear" w:color="auto" w:fill="auto"/>
            <w:noWrap/>
            <w:vAlign w:val="bottom"/>
            <w:hideMark/>
          </w:tcPr>
          <w:p w14:paraId="4E9A7185"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A2</w:t>
            </w:r>
          </w:p>
        </w:tc>
        <w:tc>
          <w:tcPr>
            <w:tcW w:w="693" w:type="dxa"/>
            <w:gridSpan w:val="2"/>
            <w:tcBorders>
              <w:top w:val="nil"/>
              <w:left w:val="nil"/>
              <w:bottom w:val="nil"/>
              <w:right w:val="nil"/>
            </w:tcBorders>
            <w:shd w:val="clear" w:color="auto" w:fill="auto"/>
            <w:noWrap/>
            <w:vAlign w:val="bottom"/>
            <w:hideMark/>
          </w:tcPr>
          <w:p w14:paraId="1601DD40"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A3</w:t>
            </w:r>
          </w:p>
        </w:tc>
        <w:tc>
          <w:tcPr>
            <w:tcW w:w="692" w:type="dxa"/>
            <w:gridSpan w:val="2"/>
            <w:tcBorders>
              <w:top w:val="nil"/>
              <w:left w:val="nil"/>
              <w:bottom w:val="nil"/>
              <w:right w:val="nil"/>
            </w:tcBorders>
            <w:shd w:val="clear" w:color="auto" w:fill="auto"/>
            <w:noWrap/>
            <w:vAlign w:val="bottom"/>
            <w:hideMark/>
          </w:tcPr>
          <w:p w14:paraId="6091A33C"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A4</w:t>
            </w:r>
          </w:p>
        </w:tc>
        <w:tc>
          <w:tcPr>
            <w:tcW w:w="693" w:type="dxa"/>
            <w:gridSpan w:val="2"/>
            <w:tcBorders>
              <w:top w:val="nil"/>
              <w:left w:val="nil"/>
              <w:bottom w:val="nil"/>
              <w:right w:val="nil"/>
            </w:tcBorders>
            <w:shd w:val="clear" w:color="auto" w:fill="auto"/>
            <w:noWrap/>
            <w:vAlign w:val="bottom"/>
            <w:hideMark/>
          </w:tcPr>
          <w:p w14:paraId="4E301D79"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A5</w:t>
            </w:r>
          </w:p>
        </w:tc>
        <w:tc>
          <w:tcPr>
            <w:tcW w:w="692" w:type="dxa"/>
            <w:gridSpan w:val="2"/>
            <w:tcBorders>
              <w:top w:val="nil"/>
              <w:left w:val="nil"/>
              <w:bottom w:val="nil"/>
              <w:right w:val="nil"/>
            </w:tcBorders>
            <w:shd w:val="clear" w:color="auto" w:fill="auto"/>
            <w:noWrap/>
            <w:vAlign w:val="bottom"/>
            <w:hideMark/>
          </w:tcPr>
          <w:p w14:paraId="26E77B48"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A6</w:t>
            </w:r>
          </w:p>
        </w:tc>
        <w:tc>
          <w:tcPr>
            <w:tcW w:w="693" w:type="dxa"/>
            <w:gridSpan w:val="2"/>
            <w:tcBorders>
              <w:top w:val="nil"/>
              <w:left w:val="nil"/>
              <w:bottom w:val="nil"/>
              <w:right w:val="nil"/>
            </w:tcBorders>
            <w:shd w:val="clear" w:color="auto" w:fill="auto"/>
            <w:noWrap/>
            <w:vAlign w:val="bottom"/>
            <w:hideMark/>
          </w:tcPr>
          <w:p w14:paraId="19714835"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BD4055">
              <w:rPr>
                <w:rFonts w:ascii="Calibri" w:hAnsi="Calibri"/>
                <w:color w:val="000000"/>
                <w:sz w:val="22"/>
                <w:szCs w:val="22"/>
                <w:lang w:val="sv-SE" w:eastAsia="sv-SE"/>
              </w:rPr>
              <w:t>A7</w:t>
            </w:r>
          </w:p>
        </w:tc>
        <w:tc>
          <w:tcPr>
            <w:tcW w:w="692" w:type="dxa"/>
            <w:gridSpan w:val="2"/>
            <w:tcBorders>
              <w:top w:val="nil"/>
              <w:left w:val="nil"/>
              <w:bottom w:val="nil"/>
              <w:right w:val="nil"/>
            </w:tcBorders>
            <w:shd w:val="clear" w:color="auto" w:fill="auto"/>
            <w:noWrap/>
            <w:vAlign w:val="bottom"/>
            <w:hideMark/>
          </w:tcPr>
          <w:p w14:paraId="29EBE4EF" w14:textId="77777777" w:rsidR="002114F4" w:rsidRPr="00BD4055" w:rsidRDefault="002114F4" w:rsidP="00513508">
            <w:pPr>
              <w:overflowPunct/>
              <w:autoSpaceDE/>
              <w:autoSpaceDN/>
              <w:adjustRightInd/>
              <w:spacing w:after="0"/>
              <w:jc w:val="center"/>
              <w:textAlignment w:val="auto"/>
              <w:rPr>
                <w:rFonts w:ascii="Calibri" w:hAnsi="Calibri"/>
                <w:color w:val="000000"/>
                <w:sz w:val="22"/>
                <w:szCs w:val="22"/>
                <w:lang w:val="sv-SE" w:eastAsia="sv-SE"/>
              </w:rPr>
            </w:pPr>
          </w:p>
        </w:tc>
        <w:tc>
          <w:tcPr>
            <w:tcW w:w="693" w:type="dxa"/>
            <w:gridSpan w:val="2"/>
            <w:tcBorders>
              <w:top w:val="nil"/>
              <w:left w:val="nil"/>
              <w:bottom w:val="nil"/>
              <w:right w:val="nil"/>
            </w:tcBorders>
            <w:shd w:val="clear" w:color="auto" w:fill="auto"/>
            <w:noWrap/>
            <w:vAlign w:val="bottom"/>
            <w:hideMark/>
          </w:tcPr>
          <w:p w14:paraId="59BA69D5"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r>
      <w:tr w:rsidR="002114F4" w:rsidRPr="00BD4055" w14:paraId="52F17888" w14:textId="77777777" w:rsidTr="00211F98">
        <w:trPr>
          <w:trHeight w:val="300"/>
        </w:trPr>
        <w:tc>
          <w:tcPr>
            <w:tcW w:w="695" w:type="dxa"/>
            <w:tcBorders>
              <w:top w:val="nil"/>
              <w:left w:val="nil"/>
              <w:bottom w:val="nil"/>
              <w:right w:val="nil"/>
            </w:tcBorders>
            <w:shd w:val="clear" w:color="auto" w:fill="auto"/>
            <w:noWrap/>
            <w:vAlign w:val="bottom"/>
            <w:hideMark/>
          </w:tcPr>
          <w:p w14:paraId="0B2484C0"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6" w:type="dxa"/>
            <w:tcBorders>
              <w:top w:val="nil"/>
              <w:left w:val="nil"/>
              <w:bottom w:val="nil"/>
              <w:right w:val="nil"/>
            </w:tcBorders>
            <w:shd w:val="clear" w:color="auto" w:fill="auto"/>
            <w:noWrap/>
            <w:vAlign w:val="bottom"/>
            <w:hideMark/>
          </w:tcPr>
          <w:p w14:paraId="13056C8E"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3" w:type="dxa"/>
            <w:tcBorders>
              <w:top w:val="nil"/>
              <w:left w:val="nil"/>
              <w:bottom w:val="nil"/>
              <w:right w:val="nil"/>
            </w:tcBorders>
            <w:shd w:val="clear" w:color="auto" w:fill="auto"/>
            <w:noWrap/>
            <w:vAlign w:val="bottom"/>
            <w:hideMark/>
          </w:tcPr>
          <w:p w14:paraId="52223CE8"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8" w:type="dxa"/>
            <w:gridSpan w:val="2"/>
            <w:tcBorders>
              <w:top w:val="nil"/>
              <w:left w:val="nil"/>
              <w:bottom w:val="nil"/>
              <w:right w:val="nil"/>
            </w:tcBorders>
            <w:shd w:val="clear" w:color="auto" w:fill="auto"/>
            <w:noWrap/>
            <w:vAlign w:val="bottom"/>
            <w:hideMark/>
          </w:tcPr>
          <w:p w14:paraId="06876867"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4" w:type="dxa"/>
            <w:gridSpan w:val="2"/>
            <w:tcBorders>
              <w:top w:val="nil"/>
              <w:left w:val="nil"/>
              <w:bottom w:val="nil"/>
              <w:right w:val="nil"/>
            </w:tcBorders>
            <w:shd w:val="clear" w:color="auto" w:fill="auto"/>
            <w:noWrap/>
            <w:vAlign w:val="bottom"/>
            <w:hideMark/>
          </w:tcPr>
          <w:p w14:paraId="13BCDBE9"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3" w:type="dxa"/>
            <w:gridSpan w:val="2"/>
            <w:tcBorders>
              <w:top w:val="nil"/>
              <w:left w:val="nil"/>
              <w:bottom w:val="nil"/>
              <w:right w:val="nil"/>
            </w:tcBorders>
            <w:shd w:val="clear" w:color="auto" w:fill="auto"/>
            <w:noWrap/>
            <w:vAlign w:val="bottom"/>
            <w:hideMark/>
          </w:tcPr>
          <w:p w14:paraId="4F4D3EBA"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2" w:type="dxa"/>
            <w:gridSpan w:val="2"/>
            <w:tcBorders>
              <w:top w:val="nil"/>
              <w:left w:val="nil"/>
              <w:bottom w:val="nil"/>
              <w:right w:val="nil"/>
            </w:tcBorders>
            <w:shd w:val="clear" w:color="auto" w:fill="auto"/>
            <w:noWrap/>
            <w:vAlign w:val="bottom"/>
            <w:hideMark/>
          </w:tcPr>
          <w:p w14:paraId="616C518A"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3" w:type="dxa"/>
            <w:gridSpan w:val="2"/>
            <w:tcBorders>
              <w:top w:val="nil"/>
              <w:left w:val="nil"/>
              <w:bottom w:val="nil"/>
              <w:right w:val="nil"/>
            </w:tcBorders>
            <w:shd w:val="clear" w:color="auto" w:fill="auto"/>
            <w:noWrap/>
            <w:vAlign w:val="bottom"/>
            <w:hideMark/>
          </w:tcPr>
          <w:p w14:paraId="13811186"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2" w:type="dxa"/>
            <w:gridSpan w:val="2"/>
            <w:tcBorders>
              <w:top w:val="nil"/>
              <w:left w:val="nil"/>
              <w:bottom w:val="nil"/>
              <w:right w:val="nil"/>
            </w:tcBorders>
            <w:shd w:val="clear" w:color="auto" w:fill="auto"/>
            <w:noWrap/>
            <w:vAlign w:val="bottom"/>
            <w:hideMark/>
          </w:tcPr>
          <w:p w14:paraId="5989F4DB"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3" w:type="dxa"/>
            <w:gridSpan w:val="2"/>
            <w:tcBorders>
              <w:top w:val="nil"/>
              <w:left w:val="nil"/>
              <w:bottom w:val="nil"/>
              <w:right w:val="nil"/>
            </w:tcBorders>
            <w:shd w:val="clear" w:color="auto" w:fill="auto"/>
            <w:noWrap/>
            <w:vAlign w:val="bottom"/>
            <w:hideMark/>
          </w:tcPr>
          <w:p w14:paraId="1C8351B9"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2" w:type="dxa"/>
            <w:gridSpan w:val="2"/>
            <w:tcBorders>
              <w:top w:val="nil"/>
              <w:left w:val="nil"/>
              <w:bottom w:val="nil"/>
              <w:right w:val="nil"/>
            </w:tcBorders>
            <w:shd w:val="clear" w:color="auto" w:fill="auto"/>
            <w:noWrap/>
            <w:vAlign w:val="bottom"/>
            <w:hideMark/>
          </w:tcPr>
          <w:p w14:paraId="74E2E9B7" w14:textId="77777777" w:rsidR="002114F4" w:rsidRPr="00BD4055" w:rsidRDefault="002114F4" w:rsidP="00513508">
            <w:pPr>
              <w:overflowPunct/>
              <w:autoSpaceDE/>
              <w:autoSpaceDN/>
              <w:adjustRightInd/>
              <w:spacing w:after="0"/>
              <w:jc w:val="center"/>
              <w:textAlignment w:val="auto"/>
              <w:rPr>
                <w:rFonts w:ascii="Times New Roman" w:hAnsi="Times New Roman"/>
                <w:lang w:val="sv-SE" w:eastAsia="sv-SE"/>
              </w:rPr>
            </w:pPr>
          </w:p>
        </w:tc>
        <w:tc>
          <w:tcPr>
            <w:tcW w:w="693" w:type="dxa"/>
            <w:gridSpan w:val="2"/>
            <w:tcBorders>
              <w:top w:val="nil"/>
              <w:left w:val="nil"/>
              <w:bottom w:val="nil"/>
              <w:right w:val="nil"/>
            </w:tcBorders>
            <w:shd w:val="clear" w:color="auto" w:fill="auto"/>
            <w:noWrap/>
            <w:vAlign w:val="bottom"/>
            <w:hideMark/>
          </w:tcPr>
          <w:p w14:paraId="402D0492" w14:textId="7C72CDBB" w:rsidR="002114F4" w:rsidRPr="00BD4055" w:rsidRDefault="00BF2B05" w:rsidP="00513508">
            <w:pPr>
              <w:overflowPunct/>
              <w:autoSpaceDE/>
              <w:autoSpaceDN/>
              <w:adjustRightInd/>
              <w:spacing w:after="0"/>
              <w:jc w:val="center"/>
              <w:textAlignment w:val="auto"/>
              <w:rPr>
                <w:rFonts w:ascii="Calibri" w:hAnsi="Calibri"/>
                <w:color w:val="000000"/>
                <w:sz w:val="22"/>
                <w:szCs w:val="22"/>
                <w:lang w:val="sv-SE" w:eastAsia="sv-SE"/>
              </w:rPr>
            </w:pPr>
            <w:r>
              <w:rPr>
                <w:rFonts w:ascii="Calibri" w:hAnsi="Calibri"/>
                <w:color w:val="000000"/>
                <w:sz w:val="22"/>
                <w:szCs w:val="22"/>
                <w:lang w:val="sv-SE" w:eastAsia="sv-SE"/>
              </w:rPr>
              <w:t>a</w:t>
            </w:r>
            <w:r w:rsidR="002114F4" w:rsidRPr="00BD4055">
              <w:rPr>
                <w:rFonts w:ascii="Calibri" w:hAnsi="Calibri"/>
                <w:color w:val="000000"/>
                <w:sz w:val="22"/>
                <w:szCs w:val="22"/>
                <w:lang w:val="sv-SE" w:eastAsia="sv-SE"/>
              </w:rPr>
              <w:t>0</w:t>
            </w:r>
          </w:p>
        </w:tc>
        <w:tc>
          <w:tcPr>
            <w:tcW w:w="692" w:type="dxa"/>
            <w:gridSpan w:val="2"/>
            <w:tcBorders>
              <w:top w:val="nil"/>
              <w:left w:val="nil"/>
              <w:bottom w:val="nil"/>
              <w:right w:val="nil"/>
            </w:tcBorders>
            <w:shd w:val="clear" w:color="auto" w:fill="auto"/>
            <w:noWrap/>
            <w:vAlign w:val="bottom"/>
            <w:hideMark/>
          </w:tcPr>
          <w:p w14:paraId="1A152EE1" w14:textId="5B4B879A" w:rsidR="002114F4" w:rsidRPr="00BD4055" w:rsidRDefault="00BF2B05" w:rsidP="00513508">
            <w:pPr>
              <w:overflowPunct/>
              <w:autoSpaceDE/>
              <w:autoSpaceDN/>
              <w:adjustRightInd/>
              <w:spacing w:after="0"/>
              <w:jc w:val="center"/>
              <w:textAlignment w:val="auto"/>
              <w:rPr>
                <w:rFonts w:ascii="Calibri" w:hAnsi="Calibri"/>
                <w:color w:val="000000"/>
                <w:sz w:val="22"/>
                <w:szCs w:val="22"/>
                <w:lang w:val="sv-SE" w:eastAsia="sv-SE"/>
              </w:rPr>
            </w:pPr>
            <w:r>
              <w:rPr>
                <w:rFonts w:ascii="Calibri" w:hAnsi="Calibri"/>
                <w:color w:val="000000"/>
                <w:sz w:val="22"/>
                <w:szCs w:val="22"/>
                <w:lang w:val="sv-SE" w:eastAsia="sv-SE"/>
              </w:rPr>
              <w:t>a</w:t>
            </w:r>
            <w:r w:rsidR="002114F4" w:rsidRPr="00BD4055">
              <w:rPr>
                <w:rFonts w:ascii="Calibri" w:hAnsi="Calibri"/>
                <w:color w:val="000000"/>
                <w:sz w:val="22"/>
                <w:szCs w:val="22"/>
                <w:lang w:val="sv-SE" w:eastAsia="sv-SE"/>
              </w:rPr>
              <w:t>1</w:t>
            </w:r>
          </w:p>
        </w:tc>
        <w:tc>
          <w:tcPr>
            <w:tcW w:w="693" w:type="dxa"/>
            <w:gridSpan w:val="2"/>
            <w:tcBorders>
              <w:top w:val="nil"/>
              <w:left w:val="nil"/>
              <w:bottom w:val="nil"/>
              <w:right w:val="nil"/>
            </w:tcBorders>
            <w:shd w:val="clear" w:color="auto" w:fill="auto"/>
            <w:noWrap/>
            <w:vAlign w:val="bottom"/>
            <w:hideMark/>
          </w:tcPr>
          <w:p w14:paraId="39B43F69" w14:textId="7B9E04C5" w:rsidR="002114F4" w:rsidRPr="00BD4055" w:rsidRDefault="00BF2B05" w:rsidP="00513508">
            <w:pPr>
              <w:overflowPunct/>
              <w:autoSpaceDE/>
              <w:autoSpaceDN/>
              <w:adjustRightInd/>
              <w:spacing w:after="0"/>
              <w:jc w:val="center"/>
              <w:textAlignment w:val="auto"/>
              <w:rPr>
                <w:rFonts w:ascii="Calibri" w:hAnsi="Calibri"/>
                <w:color w:val="000000"/>
                <w:sz w:val="22"/>
                <w:szCs w:val="22"/>
                <w:lang w:val="sv-SE" w:eastAsia="sv-SE"/>
              </w:rPr>
            </w:pPr>
            <w:r>
              <w:rPr>
                <w:rFonts w:ascii="Calibri" w:hAnsi="Calibri"/>
                <w:color w:val="000000"/>
                <w:sz w:val="22"/>
                <w:szCs w:val="22"/>
                <w:lang w:val="sv-SE" w:eastAsia="sv-SE"/>
              </w:rPr>
              <w:t>a</w:t>
            </w:r>
            <w:r w:rsidR="002114F4" w:rsidRPr="00BD4055">
              <w:rPr>
                <w:rFonts w:ascii="Calibri" w:hAnsi="Calibri"/>
                <w:color w:val="000000"/>
                <w:sz w:val="22"/>
                <w:szCs w:val="22"/>
                <w:lang w:val="sv-SE" w:eastAsia="sv-SE"/>
              </w:rPr>
              <w:t>2</w:t>
            </w:r>
          </w:p>
        </w:tc>
      </w:tr>
    </w:tbl>
    <w:p w14:paraId="0C342D76" w14:textId="411CC7C4" w:rsidR="00C324BB" w:rsidRDefault="00C324BB" w:rsidP="00C324BB">
      <w:pPr>
        <w:pStyle w:val="Caption"/>
      </w:pPr>
      <w:r>
        <w:t xml:space="preserve">Figure </w:t>
      </w:r>
      <w:r>
        <w:fldChar w:fldCharType="begin"/>
      </w:r>
      <w:r>
        <w:instrText xml:space="preserve"> SEQ Figure \* ARABIC </w:instrText>
      </w:r>
      <w:r>
        <w:fldChar w:fldCharType="separate"/>
      </w:r>
      <w:r w:rsidR="007052CF">
        <w:rPr>
          <w:noProof/>
        </w:rPr>
        <w:t>3</w:t>
      </w:r>
      <w:r>
        <w:fldChar w:fldCharType="end"/>
      </w:r>
      <w:r>
        <w:t xml:space="preserve"> Example of HP usage for continuous DL scheduling with switch from n+4 to n+3 after 8 TTIs</w:t>
      </w:r>
    </w:p>
    <w:p w14:paraId="14A9EDFF" w14:textId="1372DD22" w:rsidR="002114F4" w:rsidRDefault="00C324BB" w:rsidP="002114F4">
      <w:r>
        <w:t xml:space="preserve">If </w:t>
      </w:r>
      <w:r w:rsidR="002114F4">
        <w:t>needed more DL HPs can be retransmitted after the initial six, effectively having 8 TTI HARQ RTT</w:t>
      </w:r>
      <w:r w:rsidR="00D55940">
        <w:t xml:space="preserve"> in n+3 operation until</w:t>
      </w:r>
      <w:r w:rsidR="002114F4">
        <w:t xml:space="preserve"> </w:t>
      </w:r>
      <w:r w:rsidR="00AC738E">
        <w:t xml:space="preserve">two </w:t>
      </w:r>
      <w:bookmarkStart w:id="105" w:name="_GoBack"/>
      <w:bookmarkEnd w:id="105"/>
      <w:r w:rsidR="00676ECD">
        <w:t>retransmissions</w:t>
      </w:r>
      <w:r w:rsidR="002114F4">
        <w:t xml:space="preserve"> </w:t>
      </w:r>
      <w:r w:rsidR="00D55940">
        <w:t xml:space="preserve">of n+4 </w:t>
      </w:r>
      <w:r w:rsidR="00AC738E">
        <w:t xml:space="preserve">HPs </w:t>
      </w:r>
      <w:r w:rsidR="009A4C14">
        <w:t>have been successfully received</w:t>
      </w:r>
      <w:r w:rsidR="002114F4">
        <w:t>.</w:t>
      </w:r>
      <w:r w:rsidR="00D55940">
        <w:t xml:space="preserve"> </w:t>
      </w:r>
    </w:p>
    <w:p w14:paraId="1C44E9EA" w14:textId="77777777" w:rsidR="00C324BB" w:rsidRPr="00CE0424" w:rsidRDefault="00C324BB" w:rsidP="00C324BB">
      <w:pPr>
        <w:pStyle w:val="Observation"/>
      </w:pPr>
      <w:bookmarkStart w:id="106" w:name="_Toc473687334"/>
      <w:bookmarkStart w:id="107" w:name="_Toc473688711"/>
      <w:bookmarkStart w:id="108" w:name="_Toc473689197"/>
      <w:bookmarkStart w:id="109" w:name="_Toc473695684"/>
      <w:bookmarkStart w:id="110" w:name="_Toc473705529"/>
      <w:bookmarkStart w:id="111" w:name="_Toc473742158"/>
      <w:bookmarkStart w:id="112" w:name="_Toc473749915"/>
      <w:bookmarkStart w:id="113" w:name="_Toc473750822"/>
      <w:bookmarkStart w:id="114" w:name="_Toc473817497"/>
      <w:bookmarkStart w:id="115" w:name="_Toc473885464"/>
      <w:bookmarkStart w:id="116" w:name="_Toc473885607"/>
      <w:bookmarkStart w:id="117" w:name="_Toc473889520"/>
      <w:bookmarkStart w:id="118" w:name="_Toc473907931"/>
      <w:bookmarkStart w:id="119" w:name="_Toc473908111"/>
      <w:bookmarkStart w:id="120" w:name="_Toc473908243"/>
      <w:bookmarkStart w:id="121" w:name="_Toc473908326"/>
      <w:bookmarkStart w:id="122" w:name="_Toc473908569"/>
      <w:r>
        <w:t>HARQ feedback from two DL transmissions should be sent from the UE in one TTI when switching from n+4 to n+3.</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709C81B" w14:textId="7EA2B38B" w:rsidR="0010398D" w:rsidRDefault="00C324BB" w:rsidP="002114F4">
      <w:r>
        <w:t xml:space="preserve">This is being </w:t>
      </w:r>
      <w:r w:rsidR="009A4C14">
        <w:t xml:space="preserve">discussed in </w:t>
      </w:r>
      <w:r>
        <w:t>RAN1.</w:t>
      </w:r>
      <w:r w:rsidR="009A4C14">
        <w:t xml:space="preserve"> </w:t>
      </w:r>
    </w:p>
    <w:p w14:paraId="323912E2" w14:textId="77777777" w:rsidR="00390C29" w:rsidRDefault="00390C29" w:rsidP="002114F4"/>
    <w:p w14:paraId="14E06C39" w14:textId="39BC36EB" w:rsidR="002114F4" w:rsidRDefault="002114F4" w:rsidP="002114F4">
      <w:r>
        <w:t xml:space="preserve">In </w:t>
      </w:r>
      <w:r w:rsidR="00C324BB">
        <w:t xml:space="preserve">Figure 4 </w:t>
      </w:r>
      <w:r>
        <w:t>we have the uplink HP numbers in boxes</w:t>
      </w:r>
      <w:r w:rsidR="00D80513">
        <w:t>,</w:t>
      </w:r>
      <w:r>
        <w:t xml:space="preserve"> first eight are n+4 and last six are n+3</w:t>
      </w:r>
      <w:r w:rsidR="009A4C14">
        <w:t xml:space="preserve"> (indicated with green background)</w:t>
      </w:r>
      <w:r>
        <w:t xml:space="preserve">. On top row are </w:t>
      </w:r>
      <w:r w:rsidR="00D80513">
        <w:t xml:space="preserve">the </w:t>
      </w:r>
      <w:r>
        <w:t>grants sent, first five are n+4</w:t>
      </w:r>
      <w:r w:rsidR="00390C29">
        <w:t xml:space="preserve"> (indicated by GX)</w:t>
      </w:r>
      <w:r>
        <w:t xml:space="preserve"> and last six n+3</w:t>
      </w:r>
      <w:r w:rsidR="00390C29">
        <w:t xml:space="preserve"> (indicated by </w:t>
      </w:r>
      <w:proofErr w:type="spellStart"/>
      <w:r w:rsidR="00390C29">
        <w:t>gX</w:t>
      </w:r>
      <w:proofErr w:type="spellEnd"/>
      <w:r w:rsidR="00390C29">
        <w:t>)</w:t>
      </w:r>
      <w:r>
        <w:t xml:space="preserve">. </w:t>
      </w:r>
      <w:r w:rsidR="00390C29">
        <w:t>The r</w:t>
      </w:r>
      <w:r>
        <w:t xml:space="preserve">ow after </w:t>
      </w:r>
      <w:r w:rsidR="00390C29">
        <w:t xml:space="preserve">the </w:t>
      </w:r>
      <w:r>
        <w:t xml:space="preserve">boxes has PHICH for the n+4 transmissions and last row just indicate when eNB would have UL feedback ready </w:t>
      </w:r>
      <w:r w:rsidR="00390C29">
        <w:t xml:space="preserve">to be transmitted </w:t>
      </w:r>
      <w:r>
        <w:t>– but as n+3 is asynch</w:t>
      </w:r>
      <w:r w:rsidR="009A4C14">
        <w:t>ronous</w:t>
      </w:r>
      <w:r>
        <w:t xml:space="preserve"> nothing will be sent on PHICH for those. </w:t>
      </w:r>
      <w:r w:rsidR="00184FDE">
        <w:t xml:space="preserve">The </w:t>
      </w:r>
      <w:r w:rsidR="009A4C14">
        <w:t xml:space="preserve">first </w:t>
      </w:r>
      <w:r w:rsidR="00184FDE">
        <w:t xml:space="preserve">TTI indicated with green </w:t>
      </w:r>
      <w:r w:rsidR="00D80513">
        <w:t>can</w:t>
      </w:r>
      <w:r w:rsidR="00184FDE">
        <w:t xml:space="preserve"> have two UL grants valid, one for n+4 and one for n+3</w:t>
      </w:r>
      <w:r w:rsidR="00D80513">
        <w:t xml:space="preserve"> (the G0 respectively g0 indicated with red font)</w:t>
      </w:r>
      <w:r w:rsidR="00184FDE">
        <w:t>.</w:t>
      </w:r>
      <w:r w:rsidR="00D80513">
        <w:t xml:space="preserve"> </w:t>
      </w:r>
    </w:p>
    <w:tbl>
      <w:tblPr>
        <w:tblW w:w="9709" w:type="dxa"/>
        <w:tblInd w:w="70" w:type="dxa"/>
        <w:tblCellMar>
          <w:left w:w="70" w:type="dxa"/>
          <w:right w:w="70" w:type="dxa"/>
        </w:tblCellMar>
        <w:tblLook w:val="04A0" w:firstRow="1" w:lastRow="0" w:firstColumn="1" w:lastColumn="0" w:noHBand="0" w:noVBand="1"/>
      </w:tblPr>
      <w:tblGrid>
        <w:gridCol w:w="663"/>
        <w:gridCol w:w="662"/>
        <w:gridCol w:w="662"/>
        <w:gridCol w:w="663"/>
        <w:gridCol w:w="663"/>
        <w:gridCol w:w="662"/>
        <w:gridCol w:w="662"/>
        <w:gridCol w:w="1100"/>
        <w:gridCol w:w="662"/>
        <w:gridCol w:w="662"/>
        <w:gridCol w:w="662"/>
        <w:gridCol w:w="662"/>
        <w:gridCol w:w="662"/>
        <w:gridCol w:w="662"/>
      </w:tblGrid>
      <w:tr w:rsidR="002114F4" w:rsidRPr="0062678F" w14:paraId="3AC67E07" w14:textId="77777777" w:rsidTr="00F71C01">
        <w:trPr>
          <w:trHeight w:val="300"/>
        </w:trPr>
        <w:tc>
          <w:tcPr>
            <w:tcW w:w="663" w:type="dxa"/>
            <w:tcBorders>
              <w:top w:val="nil"/>
              <w:left w:val="nil"/>
              <w:bottom w:val="nil"/>
              <w:right w:val="nil"/>
            </w:tcBorders>
            <w:shd w:val="clear" w:color="auto" w:fill="auto"/>
            <w:noWrap/>
            <w:vAlign w:val="bottom"/>
            <w:hideMark/>
          </w:tcPr>
          <w:p w14:paraId="402417EE" w14:textId="77777777" w:rsidR="002114F4" w:rsidRPr="00F71C01" w:rsidRDefault="002114F4" w:rsidP="00513508">
            <w:pPr>
              <w:overflowPunct/>
              <w:autoSpaceDE/>
              <w:autoSpaceDN/>
              <w:adjustRightInd/>
              <w:spacing w:after="0"/>
              <w:jc w:val="left"/>
              <w:textAlignment w:val="auto"/>
              <w:rPr>
                <w:rFonts w:asciiTheme="minorHAnsi" w:hAnsiTheme="minorHAnsi"/>
                <w:sz w:val="22"/>
                <w:szCs w:val="22"/>
                <w:lang w:val="en-US" w:eastAsia="sv-SE"/>
              </w:rPr>
            </w:pPr>
            <w:r w:rsidRPr="00F71C01">
              <w:rPr>
                <w:rFonts w:asciiTheme="minorHAnsi" w:hAnsiTheme="minorHAnsi"/>
                <w:sz w:val="22"/>
                <w:szCs w:val="22"/>
                <w:lang w:val="en-US" w:eastAsia="sv-SE"/>
              </w:rPr>
              <w:t>G4</w:t>
            </w:r>
          </w:p>
        </w:tc>
        <w:tc>
          <w:tcPr>
            <w:tcW w:w="662" w:type="dxa"/>
            <w:tcBorders>
              <w:top w:val="nil"/>
              <w:left w:val="nil"/>
              <w:bottom w:val="nil"/>
              <w:right w:val="nil"/>
            </w:tcBorders>
            <w:shd w:val="clear" w:color="auto" w:fill="auto"/>
            <w:noWrap/>
            <w:vAlign w:val="bottom"/>
            <w:hideMark/>
          </w:tcPr>
          <w:p w14:paraId="43B6D08A" w14:textId="77777777" w:rsidR="002114F4" w:rsidRPr="00F71C01" w:rsidRDefault="002114F4" w:rsidP="00513508">
            <w:pPr>
              <w:overflowPunct/>
              <w:autoSpaceDE/>
              <w:autoSpaceDN/>
              <w:adjustRightInd/>
              <w:spacing w:after="0"/>
              <w:jc w:val="center"/>
              <w:textAlignment w:val="auto"/>
              <w:rPr>
                <w:rFonts w:asciiTheme="minorHAnsi" w:hAnsiTheme="minorHAnsi"/>
                <w:sz w:val="22"/>
                <w:szCs w:val="22"/>
                <w:lang w:val="en-US" w:eastAsia="sv-SE"/>
              </w:rPr>
            </w:pPr>
            <w:r w:rsidRPr="00F71C01">
              <w:rPr>
                <w:rFonts w:asciiTheme="minorHAnsi" w:hAnsiTheme="minorHAnsi"/>
                <w:sz w:val="22"/>
                <w:szCs w:val="22"/>
                <w:lang w:val="en-US" w:eastAsia="sv-SE"/>
              </w:rPr>
              <w:t>G5</w:t>
            </w:r>
          </w:p>
        </w:tc>
        <w:tc>
          <w:tcPr>
            <w:tcW w:w="662" w:type="dxa"/>
            <w:tcBorders>
              <w:top w:val="nil"/>
              <w:left w:val="nil"/>
              <w:bottom w:val="nil"/>
              <w:right w:val="nil"/>
            </w:tcBorders>
            <w:shd w:val="clear" w:color="auto" w:fill="auto"/>
            <w:noWrap/>
            <w:vAlign w:val="bottom"/>
            <w:hideMark/>
          </w:tcPr>
          <w:p w14:paraId="576B2396" w14:textId="77777777" w:rsidR="002114F4" w:rsidRPr="00F71C01" w:rsidRDefault="002114F4"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G6</w:t>
            </w:r>
          </w:p>
        </w:tc>
        <w:tc>
          <w:tcPr>
            <w:tcW w:w="663" w:type="dxa"/>
            <w:tcBorders>
              <w:top w:val="nil"/>
              <w:left w:val="nil"/>
              <w:bottom w:val="nil"/>
              <w:right w:val="nil"/>
            </w:tcBorders>
            <w:shd w:val="clear" w:color="auto" w:fill="auto"/>
            <w:noWrap/>
            <w:vAlign w:val="bottom"/>
            <w:hideMark/>
          </w:tcPr>
          <w:p w14:paraId="44410915" w14:textId="77777777" w:rsidR="002114F4" w:rsidRPr="00F71C01" w:rsidRDefault="002114F4"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G7</w:t>
            </w:r>
          </w:p>
        </w:tc>
        <w:tc>
          <w:tcPr>
            <w:tcW w:w="663" w:type="dxa"/>
            <w:tcBorders>
              <w:top w:val="nil"/>
              <w:left w:val="nil"/>
              <w:bottom w:val="nil"/>
              <w:right w:val="nil"/>
            </w:tcBorders>
            <w:shd w:val="clear" w:color="auto" w:fill="auto"/>
            <w:noWrap/>
            <w:vAlign w:val="bottom"/>
            <w:hideMark/>
          </w:tcPr>
          <w:p w14:paraId="0E06516F" w14:textId="77777777" w:rsidR="002114F4" w:rsidRPr="00F71C01" w:rsidRDefault="002114F4"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FF0000"/>
                <w:sz w:val="22"/>
                <w:szCs w:val="22"/>
                <w:lang w:val="en-US" w:eastAsia="sv-SE"/>
              </w:rPr>
              <w:t>G0</w:t>
            </w:r>
          </w:p>
        </w:tc>
        <w:tc>
          <w:tcPr>
            <w:tcW w:w="662" w:type="dxa"/>
            <w:tcBorders>
              <w:top w:val="nil"/>
              <w:left w:val="nil"/>
              <w:bottom w:val="nil"/>
              <w:right w:val="nil"/>
            </w:tcBorders>
            <w:shd w:val="clear" w:color="auto" w:fill="auto"/>
            <w:noWrap/>
            <w:vAlign w:val="bottom"/>
            <w:hideMark/>
          </w:tcPr>
          <w:p w14:paraId="236ECAE5" w14:textId="489DBA59" w:rsidR="002114F4" w:rsidRPr="00F71C01" w:rsidRDefault="00390C29"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FF0000"/>
                <w:sz w:val="22"/>
                <w:szCs w:val="22"/>
                <w:lang w:val="en-US" w:eastAsia="sv-SE"/>
              </w:rPr>
              <w:t>g</w:t>
            </w:r>
            <w:r w:rsidR="002114F4" w:rsidRPr="00F71C01">
              <w:rPr>
                <w:rFonts w:asciiTheme="minorHAnsi" w:hAnsiTheme="minorHAnsi"/>
                <w:color w:val="FF0000"/>
                <w:sz w:val="22"/>
                <w:szCs w:val="22"/>
                <w:lang w:val="en-US" w:eastAsia="sv-SE"/>
              </w:rPr>
              <w:t>0</w:t>
            </w:r>
          </w:p>
        </w:tc>
        <w:tc>
          <w:tcPr>
            <w:tcW w:w="662" w:type="dxa"/>
            <w:tcBorders>
              <w:top w:val="nil"/>
              <w:left w:val="nil"/>
              <w:bottom w:val="nil"/>
              <w:right w:val="nil"/>
            </w:tcBorders>
            <w:shd w:val="clear" w:color="auto" w:fill="auto"/>
            <w:noWrap/>
            <w:vAlign w:val="bottom"/>
            <w:hideMark/>
          </w:tcPr>
          <w:p w14:paraId="6C6A762D" w14:textId="5C36E9F9" w:rsidR="002114F4" w:rsidRPr="00F71C01" w:rsidRDefault="00390C29"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w:t>
            </w:r>
            <w:r w:rsidR="002114F4" w:rsidRPr="00F71C01">
              <w:rPr>
                <w:rFonts w:asciiTheme="minorHAnsi" w:hAnsiTheme="minorHAnsi"/>
                <w:color w:val="000000"/>
                <w:sz w:val="22"/>
                <w:szCs w:val="22"/>
                <w:lang w:val="en-US" w:eastAsia="sv-SE"/>
              </w:rPr>
              <w:t>1</w:t>
            </w:r>
          </w:p>
        </w:tc>
        <w:tc>
          <w:tcPr>
            <w:tcW w:w="1100" w:type="dxa"/>
            <w:tcBorders>
              <w:top w:val="nil"/>
              <w:left w:val="nil"/>
              <w:bottom w:val="nil"/>
              <w:right w:val="nil"/>
            </w:tcBorders>
            <w:shd w:val="clear" w:color="auto" w:fill="auto"/>
            <w:noWrap/>
            <w:vAlign w:val="bottom"/>
            <w:hideMark/>
          </w:tcPr>
          <w:p w14:paraId="4B448506" w14:textId="77777777" w:rsidR="002114F4" w:rsidRPr="00F71C01" w:rsidRDefault="002114F4" w:rsidP="00513508">
            <w:pPr>
              <w:overflowPunct/>
              <w:autoSpaceDE/>
              <w:autoSpaceDN/>
              <w:adjustRightInd/>
              <w:spacing w:after="0"/>
              <w:jc w:val="left"/>
              <w:textAlignment w:val="auto"/>
              <w:rPr>
                <w:rFonts w:asciiTheme="minorHAnsi" w:hAnsiTheme="minorHAnsi"/>
                <w:color w:val="000000"/>
                <w:sz w:val="22"/>
                <w:szCs w:val="22"/>
                <w:lang w:val="en-US" w:eastAsia="sv-SE"/>
              </w:rPr>
            </w:pPr>
          </w:p>
          <w:tbl>
            <w:tblPr>
              <w:tblW w:w="0" w:type="auto"/>
              <w:tblCellSpacing w:w="0" w:type="dxa"/>
              <w:tblCellMar>
                <w:left w:w="0" w:type="dxa"/>
                <w:right w:w="0" w:type="dxa"/>
              </w:tblCellMar>
              <w:tblLook w:val="04A0" w:firstRow="1" w:lastRow="0" w:firstColumn="1" w:lastColumn="0" w:noHBand="0" w:noVBand="1"/>
            </w:tblPr>
            <w:tblGrid>
              <w:gridCol w:w="960"/>
            </w:tblGrid>
            <w:tr w:rsidR="002114F4" w:rsidRPr="00D80513" w14:paraId="621F8EC8" w14:textId="77777777" w:rsidTr="00513508">
              <w:trPr>
                <w:trHeight w:val="300"/>
                <w:tblCellSpacing w:w="0" w:type="dxa"/>
              </w:trPr>
              <w:tc>
                <w:tcPr>
                  <w:tcW w:w="960" w:type="dxa"/>
                  <w:tcBorders>
                    <w:top w:val="nil"/>
                    <w:left w:val="nil"/>
                    <w:bottom w:val="nil"/>
                    <w:right w:val="nil"/>
                  </w:tcBorders>
                  <w:shd w:val="clear" w:color="auto" w:fill="auto"/>
                  <w:noWrap/>
                  <w:vAlign w:val="bottom"/>
                  <w:hideMark/>
                </w:tcPr>
                <w:p w14:paraId="1EB00795" w14:textId="24DE7F99" w:rsidR="002114F4" w:rsidRPr="00F71C01" w:rsidRDefault="00390C29"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w:t>
                  </w:r>
                  <w:r w:rsidR="002114F4" w:rsidRPr="00F71C01">
                    <w:rPr>
                      <w:rFonts w:asciiTheme="minorHAnsi" w:hAnsiTheme="minorHAnsi"/>
                      <w:color w:val="000000"/>
                      <w:sz w:val="22"/>
                      <w:szCs w:val="22"/>
                      <w:lang w:val="en-US" w:eastAsia="sv-SE"/>
                    </w:rPr>
                    <w:t>2</w:t>
                  </w:r>
                </w:p>
              </w:tc>
            </w:tr>
          </w:tbl>
          <w:p w14:paraId="6FB57C93" w14:textId="77777777" w:rsidR="002114F4" w:rsidRPr="00F71C01" w:rsidRDefault="002114F4" w:rsidP="00513508">
            <w:pPr>
              <w:overflowPunct/>
              <w:autoSpaceDE/>
              <w:autoSpaceDN/>
              <w:adjustRightInd/>
              <w:spacing w:after="0"/>
              <w:jc w:val="left"/>
              <w:textAlignment w:val="auto"/>
              <w:rPr>
                <w:rFonts w:asciiTheme="minorHAnsi" w:hAnsiTheme="minorHAnsi"/>
                <w:color w:val="000000"/>
                <w:sz w:val="22"/>
                <w:szCs w:val="22"/>
                <w:lang w:val="en-US" w:eastAsia="sv-SE"/>
              </w:rPr>
            </w:pPr>
          </w:p>
        </w:tc>
        <w:tc>
          <w:tcPr>
            <w:tcW w:w="662" w:type="dxa"/>
            <w:tcBorders>
              <w:top w:val="nil"/>
              <w:left w:val="nil"/>
              <w:bottom w:val="nil"/>
              <w:right w:val="nil"/>
            </w:tcBorders>
            <w:shd w:val="clear" w:color="auto" w:fill="auto"/>
            <w:noWrap/>
            <w:vAlign w:val="bottom"/>
            <w:hideMark/>
          </w:tcPr>
          <w:p w14:paraId="2078FF27" w14:textId="0A03B818" w:rsidR="002114F4" w:rsidRPr="00F71C01" w:rsidRDefault="00390C29"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w:t>
            </w:r>
            <w:r w:rsidR="002114F4" w:rsidRPr="00F71C01">
              <w:rPr>
                <w:rFonts w:asciiTheme="minorHAnsi" w:hAnsiTheme="minorHAnsi"/>
                <w:color w:val="000000"/>
                <w:sz w:val="22"/>
                <w:szCs w:val="22"/>
                <w:lang w:val="en-US" w:eastAsia="sv-SE"/>
              </w:rPr>
              <w:t>3</w:t>
            </w:r>
          </w:p>
        </w:tc>
        <w:tc>
          <w:tcPr>
            <w:tcW w:w="662" w:type="dxa"/>
            <w:tcBorders>
              <w:top w:val="nil"/>
              <w:left w:val="nil"/>
              <w:bottom w:val="nil"/>
              <w:right w:val="nil"/>
            </w:tcBorders>
            <w:shd w:val="clear" w:color="auto" w:fill="auto"/>
            <w:noWrap/>
            <w:vAlign w:val="bottom"/>
            <w:hideMark/>
          </w:tcPr>
          <w:p w14:paraId="5CE1366F" w14:textId="672BDB24" w:rsidR="002114F4" w:rsidRPr="00F71C01" w:rsidRDefault="00390C29"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w:t>
            </w:r>
            <w:r w:rsidR="002114F4" w:rsidRPr="00F71C01">
              <w:rPr>
                <w:rFonts w:asciiTheme="minorHAnsi" w:hAnsiTheme="minorHAnsi"/>
                <w:color w:val="000000"/>
                <w:sz w:val="22"/>
                <w:szCs w:val="22"/>
                <w:lang w:val="en-US" w:eastAsia="sv-SE"/>
              </w:rPr>
              <w:t>4</w:t>
            </w:r>
          </w:p>
        </w:tc>
        <w:tc>
          <w:tcPr>
            <w:tcW w:w="662" w:type="dxa"/>
            <w:tcBorders>
              <w:top w:val="nil"/>
              <w:left w:val="nil"/>
              <w:bottom w:val="nil"/>
              <w:right w:val="nil"/>
            </w:tcBorders>
            <w:shd w:val="clear" w:color="auto" w:fill="auto"/>
            <w:noWrap/>
            <w:vAlign w:val="bottom"/>
            <w:hideMark/>
          </w:tcPr>
          <w:p w14:paraId="46F2342A" w14:textId="2D550CBE" w:rsidR="002114F4" w:rsidRPr="00F71C01" w:rsidRDefault="00390C29" w:rsidP="00513508">
            <w:pPr>
              <w:overflowPunct/>
              <w:autoSpaceDE/>
              <w:autoSpaceDN/>
              <w:adjustRightInd/>
              <w:spacing w:after="0"/>
              <w:jc w:val="center"/>
              <w:textAlignment w:val="auto"/>
              <w:rPr>
                <w:rFonts w:asciiTheme="minorHAnsi" w:hAnsiTheme="minorHAnsi"/>
                <w:color w:val="000000"/>
                <w:sz w:val="22"/>
                <w:szCs w:val="22"/>
                <w:lang w:val="en-US" w:eastAsia="sv-SE"/>
              </w:rPr>
            </w:pPr>
            <w:r w:rsidRPr="00F71C01">
              <w:rPr>
                <w:rFonts w:asciiTheme="minorHAnsi" w:hAnsiTheme="minorHAnsi"/>
                <w:color w:val="000000"/>
                <w:sz w:val="22"/>
                <w:szCs w:val="22"/>
                <w:lang w:val="en-US" w:eastAsia="sv-SE"/>
              </w:rPr>
              <w:t>g</w:t>
            </w:r>
            <w:r w:rsidR="002114F4" w:rsidRPr="00F71C01">
              <w:rPr>
                <w:rFonts w:asciiTheme="minorHAnsi" w:hAnsiTheme="minorHAnsi"/>
                <w:color w:val="000000"/>
                <w:sz w:val="22"/>
                <w:szCs w:val="22"/>
                <w:lang w:val="en-US" w:eastAsia="sv-SE"/>
              </w:rPr>
              <w:t>5</w:t>
            </w:r>
          </w:p>
        </w:tc>
        <w:tc>
          <w:tcPr>
            <w:tcW w:w="662" w:type="dxa"/>
            <w:tcBorders>
              <w:top w:val="nil"/>
              <w:left w:val="nil"/>
              <w:bottom w:val="nil"/>
              <w:right w:val="nil"/>
            </w:tcBorders>
            <w:shd w:val="clear" w:color="auto" w:fill="auto"/>
            <w:noWrap/>
            <w:vAlign w:val="bottom"/>
          </w:tcPr>
          <w:p w14:paraId="54C8020D" w14:textId="0493B728" w:rsidR="002114F4" w:rsidRPr="00F71C01" w:rsidRDefault="002114F4" w:rsidP="00513508">
            <w:pPr>
              <w:overflowPunct/>
              <w:autoSpaceDE/>
              <w:autoSpaceDN/>
              <w:adjustRightInd/>
              <w:spacing w:after="0"/>
              <w:jc w:val="center"/>
              <w:textAlignment w:val="auto"/>
              <w:rPr>
                <w:rFonts w:asciiTheme="minorHAnsi" w:hAnsiTheme="minorHAnsi"/>
                <w:color w:val="000000"/>
                <w:sz w:val="22"/>
                <w:szCs w:val="22"/>
                <w:lang w:val="en-US" w:eastAsia="sv-SE"/>
              </w:rPr>
            </w:pPr>
          </w:p>
        </w:tc>
        <w:tc>
          <w:tcPr>
            <w:tcW w:w="662" w:type="dxa"/>
            <w:tcBorders>
              <w:top w:val="nil"/>
              <w:left w:val="nil"/>
              <w:bottom w:val="nil"/>
              <w:right w:val="nil"/>
            </w:tcBorders>
            <w:shd w:val="clear" w:color="auto" w:fill="auto"/>
            <w:noWrap/>
            <w:vAlign w:val="bottom"/>
          </w:tcPr>
          <w:p w14:paraId="1803A1EA" w14:textId="31E62E95" w:rsidR="002114F4" w:rsidRPr="00D80513" w:rsidRDefault="002114F4" w:rsidP="00513508">
            <w:pPr>
              <w:overflowPunct/>
              <w:autoSpaceDE/>
              <w:autoSpaceDN/>
              <w:adjustRightInd/>
              <w:spacing w:after="0"/>
              <w:jc w:val="center"/>
              <w:textAlignment w:val="auto"/>
              <w:rPr>
                <w:rFonts w:asciiTheme="minorHAnsi" w:hAnsiTheme="minorHAnsi"/>
                <w:sz w:val="22"/>
                <w:szCs w:val="22"/>
                <w:lang w:val="en-US" w:eastAsia="sv-SE"/>
              </w:rPr>
            </w:pPr>
          </w:p>
        </w:tc>
        <w:tc>
          <w:tcPr>
            <w:tcW w:w="662" w:type="dxa"/>
            <w:tcBorders>
              <w:top w:val="nil"/>
              <w:left w:val="nil"/>
              <w:bottom w:val="nil"/>
              <w:right w:val="nil"/>
            </w:tcBorders>
            <w:shd w:val="clear" w:color="auto" w:fill="auto"/>
            <w:noWrap/>
            <w:vAlign w:val="bottom"/>
          </w:tcPr>
          <w:p w14:paraId="5E6744C7" w14:textId="6695D4AE" w:rsidR="002114F4" w:rsidRPr="00D80513" w:rsidRDefault="002114F4" w:rsidP="00513508">
            <w:pPr>
              <w:overflowPunct/>
              <w:autoSpaceDE/>
              <w:autoSpaceDN/>
              <w:adjustRightInd/>
              <w:spacing w:after="0"/>
              <w:jc w:val="center"/>
              <w:textAlignment w:val="auto"/>
              <w:rPr>
                <w:rFonts w:asciiTheme="minorHAnsi" w:hAnsiTheme="minorHAnsi"/>
                <w:sz w:val="22"/>
                <w:szCs w:val="22"/>
                <w:lang w:val="en-US" w:eastAsia="sv-SE"/>
              </w:rPr>
            </w:pPr>
          </w:p>
        </w:tc>
      </w:tr>
      <w:tr w:rsidR="002114F4" w:rsidRPr="0062678F" w14:paraId="2D8CF72F" w14:textId="77777777" w:rsidTr="009C2BC6">
        <w:trPr>
          <w:trHeight w:val="30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DB66C"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0</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33AC2BF2"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F1EAD2A"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2</w:t>
            </w:r>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06E624B0"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3</w:t>
            </w:r>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461A344D"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4</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765548EF"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5</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0DBE64B"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6</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4F1EB39F"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7</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7DDB593"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en-US" w:eastAsia="sv-SE"/>
              </w:rPr>
            </w:pPr>
            <w:r w:rsidRPr="009A4C14">
              <w:rPr>
                <w:rFonts w:ascii="Calibri" w:hAnsi="Calibri"/>
                <w:color w:val="000000"/>
                <w:sz w:val="22"/>
                <w:szCs w:val="22"/>
                <w:highlight w:val="green"/>
                <w:lang w:val="en-US" w:eastAsia="sv-SE"/>
              </w:rPr>
              <w:t>0</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3F8BA7F0"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BB66C5D"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2</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068253E"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669A64C"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4</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E1D853A" w14:textId="77777777" w:rsidR="002114F4" w:rsidRPr="00F71C01" w:rsidRDefault="002114F4" w:rsidP="00513508">
            <w:pPr>
              <w:overflowPunct/>
              <w:autoSpaceDE/>
              <w:autoSpaceDN/>
              <w:adjustRightInd/>
              <w:spacing w:after="0"/>
              <w:jc w:val="center"/>
              <w:textAlignment w:val="auto"/>
              <w:rPr>
                <w:rFonts w:ascii="Calibri" w:hAnsi="Calibri"/>
                <w:color w:val="000000"/>
                <w:sz w:val="22"/>
                <w:szCs w:val="22"/>
                <w:highlight w:val="green"/>
                <w:lang w:val="en-US" w:eastAsia="sv-SE"/>
              </w:rPr>
            </w:pPr>
            <w:r w:rsidRPr="00F71C01">
              <w:rPr>
                <w:rFonts w:ascii="Calibri" w:hAnsi="Calibri"/>
                <w:color w:val="000000"/>
                <w:sz w:val="22"/>
                <w:szCs w:val="22"/>
                <w:highlight w:val="green"/>
                <w:lang w:val="en-US" w:eastAsia="sv-SE"/>
              </w:rPr>
              <w:t>5</w:t>
            </w:r>
          </w:p>
        </w:tc>
      </w:tr>
      <w:tr w:rsidR="002114F4" w:rsidRPr="0062678F" w14:paraId="1CB1F61B" w14:textId="77777777" w:rsidTr="009C2BC6">
        <w:trPr>
          <w:trHeight w:val="300"/>
        </w:trPr>
        <w:tc>
          <w:tcPr>
            <w:tcW w:w="663" w:type="dxa"/>
            <w:tcBorders>
              <w:top w:val="nil"/>
              <w:left w:val="nil"/>
              <w:bottom w:val="nil"/>
              <w:right w:val="nil"/>
            </w:tcBorders>
            <w:shd w:val="clear" w:color="auto" w:fill="auto"/>
            <w:noWrap/>
            <w:vAlign w:val="bottom"/>
            <w:hideMark/>
          </w:tcPr>
          <w:p w14:paraId="13F39C3F"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p>
        </w:tc>
        <w:tc>
          <w:tcPr>
            <w:tcW w:w="662" w:type="dxa"/>
            <w:tcBorders>
              <w:top w:val="nil"/>
              <w:left w:val="nil"/>
              <w:bottom w:val="nil"/>
              <w:right w:val="nil"/>
            </w:tcBorders>
            <w:shd w:val="clear" w:color="auto" w:fill="auto"/>
            <w:noWrap/>
            <w:vAlign w:val="bottom"/>
            <w:hideMark/>
          </w:tcPr>
          <w:p w14:paraId="03BDCC05" w14:textId="77777777" w:rsidR="002114F4" w:rsidRPr="0062678F" w:rsidRDefault="002114F4" w:rsidP="00513508">
            <w:pPr>
              <w:overflowPunct/>
              <w:autoSpaceDE/>
              <w:autoSpaceDN/>
              <w:adjustRightInd/>
              <w:spacing w:after="0"/>
              <w:jc w:val="center"/>
              <w:textAlignment w:val="auto"/>
              <w:rPr>
                <w:rFonts w:ascii="Times New Roman" w:hAnsi="Times New Roman"/>
                <w:lang w:val="en-US" w:eastAsia="sv-SE"/>
              </w:rPr>
            </w:pPr>
          </w:p>
        </w:tc>
        <w:tc>
          <w:tcPr>
            <w:tcW w:w="662" w:type="dxa"/>
            <w:tcBorders>
              <w:top w:val="nil"/>
              <w:left w:val="nil"/>
              <w:bottom w:val="nil"/>
              <w:right w:val="nil"/>
            </w:tcBorders>
            <w:shd w:val="clear" w:color="auto" w:fill="auto"/>
            <w:noWrap/>
            <w:vAlign w:val="bottom"/>
            <w:hideMark/>
          </w:tcPr>
          <w:p w14:paraId="234898F6" w14:textId="77777777" w:rsidR="002114F4" w:rsidRPr="0062678F" w:rsidRDefault="002114F4" w:rsidP="00513508">
            <w:pPr>
              <w:overflowPunct/>
              <w:autoSpaceDE/>
              <w:autoSpaceDN/>
              <w:adjustRightInd/>
              <w:spacing w:after="0"/>
              <w:jc w:val="center"/>
              <w:textAlignment w:val="auto"/>
              <w:rPr>
                <w:rFonts w:ascii="Times New Roman" w:hAnsi="Times New Roman"/>
                <w:lang w:val="en-US" w:eastAsia="sv-SE"/>
              </w:rPr>
            </w:pPr>
          </w:p>
        </w:tc>
        <w:tc>
          <w:tcPr>
            <w:tcW w:w="663" w:type="dxa"/>
            <w:tcBorders>
              <w:top w:val="nil"/>
              <w:left w:val="nil"/>
              <w:bottom w:val="nil"/>
              <w:right w:val="nil"/>
            </w:tcBorders>
            <w:shd w:val="clear" w:color="auto" w:fill="auto"/>
            <w:noWrap/>
            <w:vAlign w:val="bottom"/>
            <w:hideMark/>
          </w:tcPr>
          <w:p w14:paraId="3320D13C" w14:textId="77777777" w:rsidR="002114F4" w:rsidRPr="0062678F" w:rsidRDefault="002114F4" w:rsidP="00513508">
            <w:pPr>
              <w:overflowPunct/>
              <w:autoSpaceDE/>
              <w:autoSpaceDN/>
              <w:adjustRightInd/>
              <w:spacing w:after="0"/>
              <w:jc w:val="center"/>
              <w:textAlignment w:val="auto"/>
              <w:rPr>
                <w:rFonts w:ascii="Times New Roman" w:hAnsi="Times New Roman"/>
                <w:lang w:val="en-US" w:eastAsia="sv-SE"/>
              </w:rPr>
            </w:pPr>
          </w:p>
        </w:tc>
        <w:tc>
          <w:tcPr>
            <w:tcW w:w="663" w:type="dxa"/>
            <w:tcBorders>
              <w:top w:val="nil"/>
              <w:left w:val="nil"/>
              <w:bottom w:val="nil"/>
              <w:right w:val="nil"/>
            </w:tcBorders>
            <w:shd w:val="clear" w:color="auto" w:fill="auto"/>
            <w:noWrap/>
            <w:vAlign w:val="bottom"/>
            <w:hideMark/>
          </w:tcPr>
          <w:p w14:paraId="0D07C9A9"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A0</w:t>
            </w:r>
          </w:p>
        </w:tc>
        <w:tc>
          <w:tcPr>
            <w:tcW w:w="662" w:type="dxa"/>
            <w:tcBorders>
              <w:top w:val="nil"/>
              <w:left w:val="nil"/>
              <w:bottom w:val="nil"/>
              <w:right w:val="nil"/>
            </w:tcBorders>
            <w:shd w:val="clear" w:color="auto" w:fill="auto"/>
            <w:noWrap/>
            <w:vAlign w:val="bottom"/>
            <w:hideMark/>
          </w:tcPr>
          <w:p w14:paraId="7ED00A38"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A1</w:t>
            </w:r>
          </w:p>
        </w:tc>
        <w:tc>
          <w:tcPr>
            <w:tcW w:w="662" w:type="dxa"/>
            <w:tcBorders>
              <w:top w:val="nil"/>
              <w:left w:val="nil"/>
              <w:bottom w:val="nil"/>
              <w:right w:val="nil"/>
            </w:tcBorders>
            <w:shd w:val="clear" w:color="auto" w:fill="auto"/>
            <w:noWrap/>
            <w:vAlign w:val="bottom"/>
            <w:hideMark/>
          </w:tcPr>
          <w:p w14:paraId="0E24FE88"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A2</w:t>
            </w:r>
          </w:p>
        </w:tc>
        <w:tc>
          <w:tcPr>
            <w:tcW w:w="1100" w:type="dxa"/>
            <w:tcBorders>
              <w:top w:val="nil"/>
              <w:left w:val="nil"/>
              <w:bottom w:val="nil"/>
              <w:right w:val="nil"/>
            </w:tcBorders>
            <w:shd w:val="clear" w:color="auto" w:fill="auto"/>
            <w:noWrap/>
            <w:vAlign w:val="bottom"/>
            <w:hideMark/>
          </w:tcPr>
          <w:p w14:paraId="3C45685F"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en-US" w:eastAsia="sv-SE"/>
              </w:rPr>
            </w:pPr>
            <w:r w:rsidRPr="0062678F">
              <w:rPr>
                <w:rFonts w:ascii="Calibri" w:hAnsi="Calibri"/>
                <w:color w:val="000000"/>
                <w:sz w:val="22"/>
                <w:szCs w:val="22"/>
                <w:lang w:val="en-US" w:eastAsia="sv-SE"/>
              </w:rPr>
              <w:t>A3</w:t>
            </w:r>
          </w:p>
        </w:tc>
        <w:tc>
          <w:tcPr>
            <w:tcW w:w="662" w:type="dxa"/>
            <w:tcBorders>
              <w:top w:val="nil"/>
              <w:left w:val="nil"/>
              <w:bottom w:val="nil"/>
              <w:right w:val="nil"/>
            </w:tcBorders>
            <w:shd w:val="clear" w:color="auto" w:fill="auto"/>
            <w:noWrap/>
            <w:vAlign w:val="bottom"/>
            <w:hideMark/>
          </w:tcPr>
          <w:p w14:paraId="4DC1CA7F"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62678F">
              <w:rPr>
                <w:rFonts w:ascii="Calibri" w:hAnsi="Calibri"/>
                <w:color w:val="000000"/>
                <w:sz w:val="22"/>
                <w:szCs w:val="22"/>
                <w:lang w:val="sv-SE" w:eastAsia="sv-SE"/>
              </w:rPr>
              <w:t>A4</w:t>
            </w:r>
          </w:p>
        </w:tc>
        <w:tc>
          <w:tcPr>
            <w:tcW w:w="662" w:type="dxa"/>
            <w:tcBorders>
              <w:top w:val="nil"/>
              <w:left w:val="nil"/>
              <w:bottom w:val="nil"/>
              <w:right w:val="nil"/>
            </w:tcBorders>
            <w:shd w:val="clear" w:color="auto" w:fill="auto"/>
            <w:noWrap/>
            <w:vAlign w:val="bottom"/>
            <w:hideMark/>
          </w:tcPr>
          <w:p w14:paraId="1E8236A4"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62678F">
              <w:rPr>
                <w:rFonts w:ascii="Calibri" w:hAnsi="Calibri"/>
                <w:color w:val="000000"/>
                <w:sz w:val="22"/>
                <w:szCs w:val="22"/>
                <w:lang w:val="sv-SE" w:eastAsia="sv-SE"/>
              </w:rPr>
              <w:t>A5</w:t>
            </w:r>
          </w:p>
        </w:tc>
        <w:tc>
          <w:tcPr>
            <w:tcW w:w="662" w:type="dxa"/>
            <w:tcBorders>
              <w:top w:val="nil"/>
              <w:left w:val="nil"/>
              <w:bottom w:val="nil"/>
              <w:right w:val="nil"/>
            </w:tcBorders>
            <w:shd w:val="clear" w:color="auto" w:fill="auto"/>
            <w:noWrap/>
            <w:vAlign w:val="bottom"/>
            <w:hideMark/>
          </w:tcPr>
          <w:p w14:paraId="0476F684"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62678F">
              <w:rPr>
                <w:rFonts w:ascii="Calibri" w:hAnsi="Calibri"/>
                <w:color w:val="000000"/>
                <w:sz w:val="22"/>
                <w:szCs w:val="22"/>
                <w:lang w:val="sv-SE" w:eastAsia="sv-SE"/>
              </w:rPr>
              <w:t>A6</w:t>
            </w:r>
          </w:p>
        </w:tc>
        <w:tc>
          <w:tcPr>
            <w:tcW w:w="662" w:type="dxa"/>
            <w:tcBorders>
              <w:top w:val="nil"/>
              <w:left w:val="nil"/>
              <w:bottom w:val="nil"/>
              <w:right w:val="nil"/>
            </w:tcBorders>
            <w:shd w:val="clear" w:color="auto" w:fill="auto"/>
            <w:noWrap/>
            <w:vAlign w:val="bottom"/>
            <w:hideMark/>
          </w:tcPr>
          <w:p w14:paraId="62DBDDA0"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sv-SE" w:eastAsia="sv-SE"/>
              </w:rPr>
            </w:pPr>
            <w:r w:rsidRPr="0062678F">
              <w:rPr>
                <w:rFonts w:ascii="Calibri" w:hAnsi="Calibri"/>
                <w:color w:val="000000"/>
                <w:sz w:val="22"/>
                <w:szCs w:val="22"/>
                <w:lang w:val="sv-SE" w:eastAsia="sv-SE"/>
              </w:rPr>
              <w:t>A7</w:t>
            </w:r>
          </w:p>
        </w:tc>
        <w:tc>
          <w:tcPr>
            <w:tcW w:w="662" w:type="dxa"/>
            <w:tcBorders>
              <w:top w:val="nil"/>
              <w:left w:val="nil"/>
              <w:bottom w:val="nil"/>
              <w:right w:val="nil"/>
            </w:tcBorders>
            <w:shd w:val="clear" w:color="auto" w:fill="auto"/>
            <w:noWrap/>
            <w:vAlign w:val="bottom"/>
            <w:hideMark/>
          </w:tcPr>
          <w:p w14:paraId="27D21B64" w14:textId="77777777" w:rsidR="002114F4" w:rsidRPr="0062678F" w:rsidRDefault="002114F4" w:rsidP="00513508">
            <w:pPr>
              <w:overflowPunct/>
              <w:autoSpaceDE/>
              <w:autoSpaceDN/>
              <w:adjustRightInd/>
              <w:spacing w:after="0"/>
              <w:jc w:val="center"/>
              <w:textAlignment w:val="auto"/>
              <w:rPr>
                <w:rFonts w:ascii="Calibri" w:hAnsi="Calibri"/>
                <w:color w:val="000000"/>
                <w:sz w:val="22"/>
                <w:szCs w:val="22"/>
                <w:lang w:val="sv-SE" w:eastAsia="sv-SE"/>
              </w:rPr>
            </w:pPr>
          </w:p>
        </w:tc>
        <w:tc>
          <w:tcPr>
            <w:tcW w:w="662" w:type="dxa"/>
            <w:tcBorders>
              <w:top w:val="nil"/>
              <w:left w:val="nil"/>
              <w:bottom w:val="nil"/>
              <w:right w:val="nil"/>
            </w:tcBorders>
            <w:shd w:val="clear" w:color="auto" w:fill="auto"/>
            <w:noWrap/>
            <w:vAlign w:val="bottom"/>
            <w:hideMark/>
          </w:tcPr>
          <w:p w14:paraId="4271A41E"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r>
      <w:tr w:rsidR="002114F4" w:rsidRPr="0062678F" w14:paraId="3EE4DD13" w14:textId="77777777" w:rsidTr="009C2BC6">
        <w:trPr>
          <w:trHeight w:val="300"/>
        </w:trPr>
        <w:tc>
          <w:tcPr>
            <w:tcW w:w="663" w:type="dxa"/>
            <w:tcBorders>
              <w:top w:val="nil"/>
              <w:left w:val="nil"/>
              <w:bottom w:val="nil"/>
              <w:right w:val="nil"/>
            </w:tcBorders>
            <w:shd w:val="clear" w:color="auto" w:fill="auto"/>
            <w:noWrap/>
            <w:vAlign w:val="bottom"/>
            <w:hideMark/>
          </w:tcPr>
          <w:p w14:paraId="723B302A"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63B3AA99"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7EA4ACC9"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3" w:type="dxa"/>
            <w:tcBorders>
              <w:top w:val="nil"/>
              <w:left w:val="nil"/>
              <w:bottom w:val="nil"/>
              <w:right w:val="nil"/>
            </w:tcBorders>
            <w:shd w:val="clear" w:color="auto" w:fill="auto"/>
            <w:noWrap/>
            <w:vAlign w:val="bottom"/>
            <w:hideMark/>
          </w:tcPr>
          <w:p w14:paraId="0E8588DE"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3" w:type="dxa"/>
            <w:tcBorders>
              <w:top w:val="nil"/>
              <w:left w:val="nil"/>
              <w:bottom w:val="nil"/>
              <w:right w:val="nil"/>
            </w:tcBorders>
            <w:shd w:val="clear" w:color="auto" w:fill="auto"/>
            <w:noWrap/>
            <w:vAlign w:val="bottom"/>
            <w:hideMark/>
          </w:tcPr>
          <w:p w14:paraId="33E06B37"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437DEA28"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508CDDD1"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1100" w:type="dxa"/>
            <w:tcBorders>
              <w:top w:val="nil"/>
              <w:left w:val="nil"/>
              <w:bottom w:val="nil"/>
              <w:right w:val="nil"/>
            </w:tcBorders>
            <w:shd w:val="clear" w:color="auto" w:fill="auto"/>
            <w:noWrap/>
            <w:vAlign w:val="bottom"/>
            <w:hideMark/>
          </w:tcPr>
          <w:p w14:paraId="47267A3C"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2A2C2B70"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7B8B20C8"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2375823B" w14:textId="77777777" w:rsidR="002114F4" w:rsidRPr="0062678F" w:rsidRDefault="002114F4" w:rsidP="00513508">
            <w:pPr>
              <w:overflowPunct/>
              <w:autoSpaceDE/>
              <w:autoSpaceDN/>
              <w:adjustRightInd/>
              <w:spacing w:after="0"/>
              <w:jc w:val="center"/>
              <w:textAlignment w:val="auto"/>
              <w:rPr>
                <w:rFonts w:ascii="Times New Roman" w:hAnsi="Times New Roman"/>
                <w:lang w:val="sv-SE" w:eastAsia="sv-SE"/>
              </w:rPr>
            </w:pPr>
          </w:p>
        </w:tc>
        <w:tc>
          <w:tcPr>
            <w:tcW w:w="662" w:type="dxa"/>
            <w:tcBorders>
              <w:top w:val="nil"/>
              <w:left w:val="nil"/>
              <w:bottom w:val="nil"/>
              <w:right w:val="nil"/>
            </w:tcBorders>
            <w:shd w:val="clear" w:color="auto" w:fill="auto"/>
            <w:noWrap/>
            <w:vAlign w:val="bottom"/>
            <w:hideMark/>
          </w:tcPr>
          <w:p w14:paraId="6E11E8B9" w14:textId="1D0D0D27" w:rsidR="002114F4" w:rsidRPr="0062678F" w:rsidRDefault="009A4C14" w:rsidP="00513508">
            <w:pPr>
              <w:overflowPunct/>
              <w:autoSpaceDE/>
              <w:autoSpaceDN/>
              <w:adjustRightInd/>
              <w:spacing w:after="0"/>
              <w:jc w:val="center"/>
              <w:textAlignment w:val="auto"/>
              <w:rPr>
                <w:rFonts w:ascii="Calibri" w:hAnsi="Calibri"/>
                <w:color w:val="000000"/>
                <w:sz w:val="22"/>
                <w:szCs w:val="22"/>
                <w:lang w:val="sv-SE" w:eastAsia="sv-SE"/>
              </w:rPr>
            </w:pPr>
            <w:r>
              <w:rPr>
                <w:rFonts w:ascii="Calibri" w:hAnsi="Calibri"/>
                <w:color w:val="000000"/>
                <w:sz w:val="22"/>
                <w:szCs w:val="22"/>
                <w:lang w:val="sv-SE" w:eastAsia="sv-SE"/>
              </w:rPr>
              <w:t>a</w:t>
            </w:r>
            <w:r w:rsidR="002114F4" w:rsidRPr="0062678F">
              <w:rPr>
                <w:rFonts w:ascii="Calibri" w:hAnsi="Calibri"/>
                <w:color w:val="000000"/>
                <w:sz w:val="22"/>
                <w:szCs w:val="22"/>
                <w:lang w:val="sv-SE" w:eastAsia="sv-SE"/>
              </w:rPr>
              <w:t>0</w:t>
            </w:r>
          </w:p>
        </w:tc>
        <w:tc>
          <w:tcPr>
            <w:tcW w:w="662" w:type="dxa"/>
            <w:tcBorders>
              <w:top w:val="nil"/>
              <w:left w:val="nil"/>
              <w:bottom w:val="nil"/>
              <w:right w:val="nil"/>
            </w:tcBorders>
            <w:shd w:val="clear" w:color="auto" w:fill="auto"/>
            <w:noWrap/>
            <w:vAlign w:val="bottom"/>
            <w:hideMark/>
          </w:tcPr>
          <w:p w14:paraId="4019F280" w14:textId="18BE40E6" w:rsidR="002114F4" w:rsidRPr="0062678F" w:rsidRDefault="009A4C14" w:rsidP="00513508">
            <w:pPr>
              <w:overflowPunct/>
              <w:autoSpaceDE/>
              <w:autoSpaceDN/>
              <w:adjustRightInd/>
              <w:spacing w:after="0"/>
              <w:jc w:val="center"/>
              <w:textAlignment w:val="auto"/>
              <w:rPr>
                <w:rFonts w:ascii="Calibri" w:hAnsi="Calibri"/>
                <w:color w:val="000000"/>
                <w:sz w:val="22"/>
                <w:szCs w:val="22"/>
                <w:lang w:val="sv-SE" w:eastAsia="sv-SE"/>
              </w:rPr>
            </w:pPr>
            <w:r>
              <w:rPr>
                <w:rFonts w:ascii="Calibri" w:hAnsi="Calibri"/>
                <w:color w:val="000000"/>
                <w:sz w:val="22"/>
                <w:szCs w:val="22"/>
                <w:lang w:val="sv-SE" w:eastAsia="sv-SE"/>
              </w:rPr>
              <w:t>a</w:t>
            </w:r>
            <w:r w:rsidR="002114F4" w:rsidRPr="0062678F">
              <w:rPr>
                <w:rFonts w:ascii="Calibri" w:hAnsi="Calibri"/>
                <w:color w:val="000000"/>
                <w:sz w:val="22"/>
                <w:szCs w:val="22"/>
                <w:lang w:val="sv-SE" w:eastAsia="sv-SE"/>
              </w:rPr>
              <w:t>1</w:t>
            </w:r>
          </w:p>
        </w:tc>
        <w:tc>
          <w:tcPr>
            <w:tcW w:w="662" w:type="dxa"/>
            <w:tcBorders>
              <w:top w:val="nil"/>
              <w:left w:val="nil"/>
              <w:bottom w:val="nil"/>
              <w:right w:val="nil"/>
            </w:tcBorders>
            <w:shd w:val="clear" w:color="auto" w:fill="auto"/>
            <w:noWrap/>
            <w:vAlign w:val="bottom"/>
            <w:hideMark/>
          </w:tcPr>
          <w:p w14:paraId="3E78E48D" w14:textId="55CC8614" w:rsidR="002114F4" w:rsidRPr="0062678F" w:rsidRDefault="009A4C14" w:rsidP="00513508">
            <w:pPr>
              <w:overflowPunct/>
              <w:autoSpaceDE/>
              <w:autoSpaceDN/>
              <w:adjustRightInd/>
              <w:spacing w:after="0"/>
              <w:jc w:val="center"/>
              <w:textAlignment w:val="auto"/>
              <w:rPr>
                <w:rFonts w:ascii="Calibri" w:hAnsi="Calibri"/>
                <w:color w:val="000000"/>
                <w:sz w:val="22"/>
                <w:szCs w:val="22"/>
                <w:lang w:val="sv-SE" w:eastAsia="sv-SE"/>
              </w:rPr>
            </w:pPr>
            <w:r>
              <w:rPr>
                <w:rFonts w:ascii="Calibri" w:hAnsi="Calibri"/>
                <w:color w:val="000000"/>
                <w:sz w:val="22"/>
                <w:szCs w:val="22"/>
                <w:lang w:val="sv-SE" w:eastAsia="sv-SE"/>
              </w:rPr>
              <w:t>a</w:t>
            </w:r>
            <w:r w:rsidR="002114F4" w:rsidRPr="0062678F">
              <w:rPr>
                <w:rFonts w:ascii="Calibri" w:hAnsi="Calibri"/>
                <w:color w:val="000000"/>
                <w:sz w:val="22"/>
                <w:szCs w:val="22"/>
                <w:lang w:val="sv-SE" w:eastAsia="sv-SE"/>
              </w:rPr>
              <w:t>2</w:t>
            </w:r>
          </w:p>
        </w:tc>
      </w:tr>
    </w:tbl>
    <w:p w14:paraId="4C084A90" w14:textId="79D93739" w:rsidR="00184FDE" w:rsidRDefault="00184FDE" w:rsidP="00184FDE">
      <w:pPr>
        <w:pStyle w:val="Caption"/>
      </w:pPr>
      <w:r>
        <w:t xml:space="preserve">Figure </w:t>
      </w:r>
      <w:r>
        <w:fldChar w:fldCharType="begin"/>
      </w:r>
      <w:r>
        <w:instrText xml:space="preserve"> SEQ Figure \* ARABIC </w:instrText>
      </w:r>
      <w:r>
        <w:fldChar w:fldCharType="separate"/>
      </w:r>
      <w:r w:rsidR="007052CF">
        <w:rPr>
          <w:noProof/>
        </w:rPr>
        <w:t>4</w:t>
      </w:r>
      <w:r>
        <w:fldChar w:fldCharType="end"/>
      </w:r>
      <w:r>
        <w:t xml:space="preserve"> Example of HP usage for continuous UL scheduling with switch from n+4 to n+3 after 8 TTIs</w:t>
      </w:r>
    </w:p>
    <w:p w14:paraId="07501837" w14:textId="77777777" w:rsidR="00184FDE" w:rsidRDefault="00184FDE" w:rsidP="00184FDE"/>
    <w:p w14:paraId="26BD9993" w14:textId="6A75C418" w:rsidR="00184FDE" w:rsidRPr="00CE0424" w:rsidRDefault="00184FDE" w:rsidP="00184FDE">
      <w:pPr>
        <w:pStyle w:val="Observation"/>
      </w:pPr>
      <w:bookmarkStart w:id="123" w:name="_Toc473689198"/>
      <w:bookmarkStart w:id="124" w:name="_Toc473695685"/>
      <w:bookmarkStart w:id="125" w:name="_Toc473705530"/>
      <w:bookmarkStart w:id="126" w:name="_Toc473742159"/>
      <w:bookmarkStart w:id="127" w:name="_Toc473749916"/>
      <w:bookmarkStart w:id="128" w:name="_Toc473750823"/>
      <w:bookmarkStart w:id="129" w:name="_Toc473817498"/>
      <w:bookmarkStart w:id="130" w:name="_Toc473885465"/>
      <w:bookmarkStart w:id="131" w:name="_Toc473885608"/>
      <w:bookmarkStart w:id="132" w:name="_Toc473889521"/>
      <w:bookmarkStart w:id="133" w:name="_Toc473907932"/>
      <w:bookmarkStart w:id="134" w:name="_Toc473908112"/>
      <w:bookmarkStart w:id="135" w:name="_Toc473908244"/>
      <w:bookmarkStart w:id="136" w:name="_Toc473908327"/>
      <w:bookmarkStart w:id="137" w:name="_Toc473908570"/>
      <w:r>
        <w:t xml:space="preserve">Two UL grants </w:t>
      </w:r>
      <w:r w:rsidR="00E8126F">
        <w:t xml:space="preserve">valid for </w:t>
      </w:r>
      <w:r w:rsidR="006835A3">
        <w:t xml:space="preserve">TTI m will </w:t>
      </w:r>
      <w:r>
        <w:t>be received</w:t>
      </w:r>
      <w:r w:rsidR="006835A3">
        <w:t xml:space="preserve"> at the UE, if the UE is scheduled with </w:t>
      </w:r>
      <w:r>
        <w:t xml:space="preserve">n+4 </w:t>
      </w:r>
      <w:r w:rsidR="006835A3">
        <w:t xml:space="preserve">in TTI m-4 and scheduled with </w:t>
      </w:r>
      <w:r>
        <w:t>n+3</w:t>
      </w:r>
      <w:r w:rsidR="006835A3">
        <w:t xml:space="preserve"> in TTI m-3</w:t>
      </w:r>
      <w: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2B95A98" w14:textId="74936425" w:rsidR="00184FDE" w:rsidRDefault="00184FDE" w:rsidP="00184FDE">
      <w:r>
        <w:t xml:space="preserve">This is being </w:t>
      </w:r>
      <w:r w:rsidR="00D80513">
        <w:t>discussed</w:t>
      </w:r>
      <w:r>
        <w:t xml:space="preserve"> </w:t>
      </w:r>
      <w:r w:rsidR="00D80513">
        <w:t>in</w:t>
      </w:r>
      <w:r>
        <w:t xml:space="preserve"> RAN1. </w:t>
      </w: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4A6D3E0F" w14:textId="34AC2427" w:rsidR="003E15DF"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52CF">
        <w:t>2</w:t>
      </w:r>
      <w:r w:rsidRPr="00CE0424">
        <w:rPr>
          <w:highlight w:val="cyan"/>
        </w:rPr>
        <w:fldChar w:fldCharType="end"/>
      </w:r>
      <w:r w:rsidRPr="00CE0424">
        <w:t xml:space="preserve"> we </w:t>
      </w:r>
      <w:r>
        <w:t>made the following observations</w:t>
      </w:r>
      <w:r w:rsidRPr="00CE0424">
        <w:t>:</w:t>
      </w:r>
    </w:p>
    <w:p w14:paraId="4D386EAD" w14:textId="77777777" w:rsidR="00AA55BD"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AA55BD">
        <w:t>Observation 1</w:t>
      </w:r>
      <w:r w:rsidR="00AA55BD">
        <w:rPr>
          <w:rFonts w:asciiTheme="minorHAnsi" w:eastAsiaTheme="minorEastAsia" w:hAnsiTheme="minorHAnsi" w:cstheme="minorBidi"/>
          <w:b w:val="0"/>
          <w:sz w:val="22"/>
          <w:lang w:eastAsia="en-US"/>
        </w:rPr>
        <w:tab/>
      </w:r>
      <w:r w:rsidR="00AA55BD">
        <w:t>To enable retransmissions of n+3 HPs in n+4 synchronous operations and vice versa, we can define the n+4 synchronous HP numbering as a function of the SFN and subframe.</w:t>
      </w:r>
    </w:p>
    <w:p w14:paraId="08FAB01A" w14:textId="77777777" w:rsidR="00AA55BD" w:rsidRDefault="00AA55B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almost loss less switching from n+3 with 16 HPs to n+4 synchronous operations, we can drop the HPs numbered 8 to 15 and let n+3 HP number 0 to 7 map to n+4 HP number 0 to 7.</w:t>
      </w:r>
    </w:p>
    <w:p w14:paraId="14429357" w14:textId="77777777" w:rsidR="00AA55BD" w:rsidRDefault="00AA55B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When continuously scheduled in UL, before the n+3 to n+4 switch there will be one TTI without any valid grant.</w:t>
      </w:r>
    </w:p>
    <w:p w14:paraId="591B256E" w14:textId="77777777" w:rsidR="00AA55BD" w:rsidRDefault="00AA55B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It is complex to connect n+3 grants to a PHICH after a switch from n+3 to n+4 synchronous UL HARQ without collisions on PHICH.</w:t>
      </w:r>
    </w:p>
    <w:p w14:paraId="0177C8FA" w14:textId="77777777" w:rsidR="00AA55BD" w:rsidRDefault="00AA55B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HARQ feedback from two DL transmissions should be sent from the UE in one TTI when switching from n+4 to n+3.</w:t>
      </w:r>
    </w:p>
    <w:p w14:paraId="6B65D464" w14:textId="77777777" w:rsidR="00AA55BD" w:rsidRDefault="00AA55BD">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Two UL grants valid for TTI m will be received at the UE, if the UE is scheduled with n+4 in TTI m-4 and scheduled with n+3 in TTI m-3.</w:t>
      </w:r>
    </w:p>
    <w:p w14:paraId="5C342F4B" w14:textId="77777777" w:rsidR="008E065E" w:rsidRDefault="008E065E" w:rsidP="008E065E">
      <w:pPr>
        <w:pStyle w:val="BodyText"/>
        <w:rPr>
          <w:b/>
          <w:bCs/>
        </w:rPr>
      </w:pPr>
      <w:r>
        <w:rPr>
          <w:b/>
          <w:bCs/>
        </w:rPr>
        <w:fldChar w:fldCharType="end"/>
      </w:r>
    </w:p>
    <w:p w14:paraId="453BD460" w14:textId="0570275C" w:rsidR="003E15DF"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52CF">
        <w:t>2</w:t>
      </w:r>
      <w:r w:rsidRPr="00CE0424">
        <w:rPr>
          <w:highlight w:val="cyan"/>
        </w:rPr>
        <w:fldChar w:fldCharType="end"/>
      </w:r>
      <w:r w:rsidRPr="00CE0424">
        <w:t xml:space="preserve"> we propose the following:</w:t>
      </w:r>
    </w:p>
    <w:p w14:paraId="7C22D8AA" w14:textId="77777777" w:rsidR="00AA55BD"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A55BD">
        <w:t>Proposal 1</w:t>
      </w:r>
      <w:r w:rsidR="00AA55BD">
        <w:rPr>
          <w:rFonts w:asciiTheme="minorHAnsi" w:eastAsiaTheme="minorEastAsia" w:hAnsiTheme="minorHAnsi" w:cstheme="minorBidi"/>
          <w:b w:val="0"/>
          <w:sz w:val="22"/>
          <w:lang w:eastAsia="en-US"/>
        </w:rPr>
        <w:tab/>
      </w:r>
      <w:r w:rsidR="00AA55BD">
        <w:t xml:space="preserve">Define the UL n+4 synchronous HP number as  </w:t>
      </w:r>
      <w:r w:rsidR="00AA55BD" w:rsidRPr="00CE2824">
        <w:rPr>
          <w:i/>
        </w:rPr>
        <w:t>[SFN * number_of_UL_SFs_per_radio_frame + index_of_UL_SF] modulo number_of_UL_HARQ_processes</w:t>
      </w:r>
      <w:r w:rsidR="00AA55BD">
        <w:t>.</w:t>
      </w:r>
    </w:p>
    <w:p w14:paraId="5FDEF555" w14:textId="77777777" w:rsidR="00AA55BD" w:rsidRDefault="00AA55B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At a switch from n+3 with 16 HPs to n+4 synchronous operations, drop the HPs numbered 8 to 15 and let n+3 HP number 0 to 7 map to n+4 HP number 0 to 7.</w:t>
      </w:r>
    </w:p>
    <w:p w14:paraId="07769639" w14:textId="77777777" w:rsidR="00AA55BD" w:rsidRDefault="00AA55B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Allow only adaptive retransmissions, of HPs initially sent before the switch, after a switch to synchronous n+4 operation.</w:t>
      </w:r>
    </w:p>
    <w:p w14:paraId="6B6DC21A" w14:textId="77777777" w:rsidR="00AA55BD" w:rsidRDefault="00AA55B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As switching to n+4 synchronous operations is a fallback case not often expected, we do not need to optimize for lossless switching.</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38" w:name="_In-sequence_SDU_delivery"/>
      <w:bookmarkEnd w:id="138"/>
      <w:r w:rsidRPr="00CE0424">
        <w:t>References</w:t>
      </w:r>
    </w:p>
    <w:p w14:paraId="5F755A27" w14:textId="62B9F632" w:rsidR="00155EE4" w:rsidRDefault="00184FDE" w:rsidP="00155EE4">
      <w:pPr>
        <w:pStyle w:val="Reference"/>
        <w:overflowPunct/>
        <w:autoSpaceDE/>
        <w:autoSpaceDN/>
        <w:adjustRightInd/>
        <w:spacing w:after="160" w:line="259" w:lineRule="auto"/>
        <w:jc w:val="left"/>
        <w:textAlignment w:val="auto"/>
      </w:pPr>
      <w:bookmarkStart w:id="139" w:name="_Ref449678105"/>
      <w:bookmarkStart w:id="140" w:name="_Ref465262208"/>
      <w:bookmarkStart w:id="141" w:name="_Ref174151459"/>
      <w:bookmarkStart w:id="142" w:name="_Ref189809556"/>
      <w:r>
        <w:t xml:space="preserve">RP-162014, </w:t>
      </w:r>
      <w:r w:rsidRPr="00463950">
        <w:t>Revised Work Item on shortened TTI and processing time for LTE</w:t>
      </w:r>
      <w:r w:rsidR="001649E8">
        <w:t>, Ericsson, RAN#74, Dec.</w:t>
      </w:r>
      <w:r>
        <w:t xml:space="preserve"> 2016</w:t>
      </w:r>
      <w:bookmarkEnd w:id="139"/>
      <w:r>
        <w:t xml:space="preserve"> </w:t>
      </w:r>
      <w:bookmarkEnd w:id="140"/>
    </w:p>
    <w:p w14:paraId="19DE5B39" w14:textId="11AB7CB1" w:rsidR="00FD0F34" w:rsidRDefault="007052CF" w:rsidP="00FD0F34">
      <w:pPr>
        <w:pStyle w:val="Reference"/>
      </w:pPr>
      <w:bookmarkStart w:id="143" w:name="_Ref473149326"/>
      <w:r>
        <w:t>R2-1701607</w:t>
      </w:r>
      <w:r w:rsidR="00FD0F34">
        <w:t xml:space="preserve">, </w:t>
      </w:r>
      <w:r w:rsidR="00FD0F34" w:rsidRPr="00FD0F34">
        <w:t xml:space="preserve">HARQ process handling with </w:t>
      </w:r>
      <w:r>
        <w:t>different TTIs lengths</w:t>
      </w:r>
      <w:r w:rsidR="00FD0F34">
        <w:t>, 3GPP RAN2#97</w:t>
      </w:r>
      <w:bookmarkEnd w:id="143"/>
      <w:r w:rsidR="001649E8">
        <w:t>, Feb. 2017</w:t>
      </w:r>
    </w:p>
    <w:p w14:paraId="76FD9E18" w14:textId="52E9CA74" w:rsidR="005F3025" w:rsidRPr="00CE0424" w:rsidRDefault="001649E8" w:rsidP="001649E8">
      <w:pPr>
        <w:pStyle w:val="Reference"/>
      </w:pPr>
      <w:bookmarkStart w:id="144" w:name="_Ref473884183"/>
      <w:r>
        <w:t>R1-</w:t>
      </w:r>
      <w:r w:rsidRPr="001649E8">
        <w:t>1612207</w:t>
      </w:r>
      <w:r>
        <w:t xml:space="preserve">, </w:t>
      </w:r>
      <w:r w:rsidRPr="001649E8">
        <w:t>Interaction between synchronous and asynchronous UL HARQ for 1ms TTI</w:t>
      </w:r>
      <w:r>
        <w:t>, RAN1#87, Nov. 2016</w:t>
      </w:r>
      <w:bookmarkEnd w:id="144"/>
      <w:r>
        <w:t xml:space="preserve"> </w:t>
      </w:r>
    </w:p>
    <w:bookmarkEnd w:id="141"/>
    <w:bookmarkEnd w:id="142"/>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71BCD" w14:textId="77777777" w:rsidR="00E02692" w:rsidRDefault="00E02692">
      <w:r>
        <w:separator/>
      </w:r>
    </w:p>
  </w:endnote>
  <w:endnote w:type="continuationSeparator" w:id="0">
    <w:p w14:paraId="13002F15" w14:textId="77777777" w:rsidR="00E02692" w:rsidRDefault="00E0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6D921D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6EC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EC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3D6D1" w14:textId="77777777" w:rsidR="00E02692" w:rsidRDefault="00E02692">
      <w:r>
        <w:separator/>
      </w:r>
    </w:p>
  </w:footnote>
  <w:footnote w:type="continuationSeparator" w:id="0">
    <w:p w14:paraId="1002DA39" w14:textId="77777777" w:rsidR="00E02692" w:rsidRDefault="00E0269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7EAB357E"/>
    <w:multiLevelType w:val="hybridMultilevel"/>
    <w:tmpl w:val="51E66D46"/>
    <w:lvl w:ilvl="0" w:tplc="2FFE8100">
      <w:start w:val="1"/>
      <w:numFmt w:val="upperLetter"/>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4"/>
  </w:num>
  <w:num w:numId="16">
    <w:abstractNumId w:val="12"/>
  </w:num>
  <w:num w:numId="17">
    <w:abstractNumId w:val="13"/>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1A2"/>
    <w:rsid w:val="000A1B7B"/>
    <w:rsid w:val="000A1C81"/>
    <w:rsid w:val="000A56F2"/>
    <w:rsid w:val="000B2719"/>
    <w:rsid w:val="000B328D"/>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98D"/>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F66"/>
    <w:rsid w:val="0014232C"/>
    <w:rsid w:val="00151E23"/>
    <w:rsid w:val="001526E0"/>
    <w:rsid w:val="001551B5"/>
    <w:rsid w:val="00155EE4"/>
    <w:rsid w:val="001643A8"/>
    <w:rsid w:val="001649E8"/>
    <w:rsid w:val="001659C1"/>
    <w:rsid w:val="00173A8E"/>
    <w:rsid w:val="00177795"/>
    <w:rsid w:val="0018143F"/>
    <w:rsid w:val="00184FDE"/>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4F4"/>
    <w:rsid w:val="00211F98"/>
    <w:rsid w:val="00214DA8"/>
    <w:rsid w:val="00215423"/>
    <w:rsid w:val="002158FA"/>
    <w:rsid w:val="00220600"/>
    <w:rsid w:val="002224DB"/>
    <w:rsid w:val="00223FCB"/>
    <w:rsid w:val="002252C3"/>
    <w:rsid w:val="00225C54"/>
    <w:rsid w:val="00230765"/>
    <w:rsid w:val="002319E4"/>
    <w:rsid w:val="002336C4"/>
    <w:rsid w:val="00235632"/>
    <w:rsid w:val="00235872"/>
    <w:rsid w:val="00241559"/>
    <w:rsid w:val="002435A4"/>
    <w:rsid w:val="002435B3"/>
    <w:rsid w:val="002458EB"/>
    <w:rsid w:val="002500C8"/>
    <w:rsid w:val="0025399B"/>
    <w:rsid w:val="00254590"/>
    <w:rsid w:val="00257543"/>
    <w:rsid w:val="002617E7"/>
    <w:rsid w:val="00261FC8"/>
    <w:rsid w:val="002621A0"/>
    <w:rsid w:val="00264228"/>
    <w:rsid w:val="00264334"/>
    <w:rsid w:val="0026473E"/>
    <w:rsid w:val="00266214"/>
    <w:rsid w:val="00266A13"/>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E7"/>
    <w:rsid w:val="002A1D4E"/>
    <w:rsid w:val="002A2869"/>
    <w:rsid w:val="002A55CE"/>
    <w:rsid w:val="002B24D6"/>
    <w:rsid w:val="002B5DAF"/>
    <w:rsid w:val="002C41E6"/>
    <w:rsid w:val="002C5B2A"/>
    <w:rsid w:val="002D071A"/>
    <w:rsid w:val="002D34B2"/>
    <w:rsid w:val="002D7637"/>
    <w:rsid w:val="002E10EB"/>
    <w:rsid w:val="002E17F2"/>
    <w:rsid w:val="002E7CAE"/>
    <w:rsid w:val="002F2771"/>
    <w:rsid w:val="002F37A9"/>
    <w:rsid w:val="002F51B1"/>
    <w:rsid w:val="00301CE6"/>
    <w:rsid w:val="0030256B"/>
    <w:rsid w:val="0030501F"/>
    <w:rsid w:val="00307BA1"/>
    <w:rsid w:val="00311702"/>
    <w:rsid w:val="00311E82"/>
    <w:rsid w:val="00313FD6"/>
    <w:rsid w:val="003143BD"/>
    <w:rsid w:val="00314CC8"/>
    <w:rsid w:val="00317B01"/>
    <w:rsid w:val="003203ED"/>
    <w:rsid w:val="00322C9F"/>
    <w:rsid w:val="00324D23"/>
    <w:rsid w:val="00331751"/>
    <w:rsid w:val="00334579"/>
    <w:rsid w:val="00335858"/>
    <w:rsid w:val="00336BDA"/>
    <w:rsid w:val="00342BD7"/>
    <w:rsid w:val="00343A07"/>
    <w:rsid w:val="00346242"/>
    <w:rsid w:val="00346DB5"/>
    <w:rsid w:val="003477B1"/>
    <w:rsid w:val="0035482C"/>
    <w:rsid w:val="00357380"/>
    <w:rsid w:val="003602D9"/>
    <w:rsid w:val="003604CE"/>
    <w:rsid w:val="00370E47"/>
    <w:rsid w:val="003742AC"/>
    <w:rsid w:val="003779ED"/>
    <w:rsid w:val="00377CE1"/>
    <w:rsid w:val="003801ED"/>
    <w:rsid w:val="00385BF0"/>
    <w:rsid w:val="00390C29"/>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DF"/>
    <w:rsid w:val="003E15FA"/>
    <w:rsid w:val="003E1B6C"/>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4981"/>
    <w:rsid w:val="00421105"/>
    <w:rsid w:val="004242F4"/>
    <w:rsid w:val="00427248"/>
    <w:rsid w:val="00437447"/>
    <w:rsid w:val="00441A92"/>
    <w:rsid w:val="00444F56"/>
    <w:rsid w:val="00445187"/>
    <w:rsid w:val="00446488"/>
    <w:rsid w:val="004517AA"/>
    <w:rsid w:val="00452CAC"/>
    <w:rsid w:val="00453C9D"/>
    <w:rsid w:val="00457565"/>
    <w:rsid w:val="00457B71"/>
    <w:rsid w:val="00465F3A"/>
    <w:rsid w:val="004669E2"/>
    <w:rsid w:val="00470C31"/>
    <w:rsid w:val="004734D0"/>
    <w:rsid w:val="0047556B"/>
    <w:rsid w:val="00477768"/>
    <w:rsid w:val="00492BC5"/>
    <w:rsid w:val="004964F1"/>
    <w:rsid w:val="004A12B8"/>
    <w:rsid w:val="004A16BC"/>
    <w:rsid w:val="004A2B94"/>
    <w:rsid w:val="004B4AC0"/>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117"/>
    <w:rsid w:val="005108D8"/>
    <w:rsid w:val="005116F9"/>
    <w:rsid w:val="005153A7"/>
    <w:rsid w:val="005219CF"/>
    <w:rsid w:val="00530B82"/>
    <w:rsid w:val="00531534"/>
    <w:rsid w:val="0053365D"/>
    <w:rsid w:val="005338D0"/>
    <w:rsid w:val="00534B59"/>
    <w:rsid w:val="00536759"/>
    <w:rsid w:val="00537C62"/>
    <w:rsid w:val="00546970"/>
    <w:rsid w:val="00554A95"/>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27B6"/>
    <w:rsid w:val="005C74FB"/>
    <w:rsid w:val="005D1602"/>
    <w:rsid w:val="005D1AC4"/>
    <w:rsid w:val="005D3B7A"/>
    <w:rsid w:val="005D6323"/>
    <w:rsid w:val="005D6700"/>
    <w:rsid w:val="005E385F"/>
    <w:rsid w:val="005E4606"/>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78F"/>
    <w:rsid w:val="00630001"/>
    <w:rsid w:val="006311B3"/>
    <w:rsid w:val="0063284C"/>
    <w:rsid w:val="00636398"/>
    <w:rsid w:val="006368D3"/>
    <w:rsid w:val="006377EC"/>
    <w:rsid w:val="006413E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769"/>
    <w:rsid w:val="006655EE"/>
    <w:rsid w:val="00667EE7"/>
    <w:rsid w:val="00670922"/>
    <w:rsid w:val="00670BE1"/>
    <w:rsid w:val="0067218F"/>
    <w:rsid w:val="006741F2"/>
    <w:rsid w:val="00674CC3"/>
    <w:rsid w:val="00675C72"/>
    <w:rsid w:val="00676ECD"/>
    <w:rsid w:val="006771F9"/>
    <w:rsid w:val="006776D7"/>
    <w:rsid w:val="00681003"/>
    <w:rsid w:val="006817C9"/>
    <w:rsid w:val="006835A3"/>
    <w:rsid w:val="00683ECE"/>
    <w:rsid w:val="00695FC2"/>
    <w:rsid w:val="00696949"/>
    <w:rsid w:val="00697052"/>
    <w:rsid w:val="006A46FB"/>
    <w:rsid w:val="006A5E28"/>
    <w:rsid w:val="006A697B"/>
    <w:rsid w:val="006A69D6"/>
    <w:rsid w:val="006A7AFF"/>
    <w:rsid w:val="006B1816"/>
    <w:rsid w:val="006B2099"/>
    <w:rsid w:val="006B50CF"/>
    <w:rsid w:val="006C03B8"/>
    <w:rsid w:val="006C5EC9"/>
    <w:rsid w:val="006C6059"/>
    <w:rsid w:val="006C7522"/>
    <w:rsid w:val="006D2996"/>
    <w:rsid w:val="006D435B"/>
    <w:rsid w:val="006D6F08"/>
    <w:rsid w:val="006E062C"/>
    <w:rsid w:val="006E28B7"/>
    <w:rsid w:val="006E3310"/>
    <w:rsid w:val="006E4E39"/>
    <w:rsid w:val="006E565E"/>
    <w:rsid w:val="006E673D"/>
    <w:rsid w:val="006E7D3B"/>
    <w:rsid w:val="006F1B70"/>
    <w:rsid w:val="006F21F2"/>
    <w:rsid w:val="006F341D"/>
    <w:rsid w:val="006F3CDE"/>
    <w:rsid w:val="006F4507"/>
    <w:rsid w:val="006F58D4"/>
    <w:rsid w:val="0070346E"/>
    <w:rsid w:val="00704EDB"/>
    <w:rsid w:val="007052CF"/>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D67"/>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76A"/>
    <w:rsid w:val="00786D67"/>
    <w:rsid w:val="007925EA"/>
    <w:rsid w:val="00793CD8"/>
    <w:rsid w:val="00795C92"/>
    <w:rsid w:val="00796231"/>
    <w:rsid w:val="007A1CB3"/>
    <w:rsid w:val="007A306F"/>
    <w:rsid w:val="007A43A6"/>
    <w:rsid w:val="007A58A6"/>
    <w:rsid w:val="007B3D2D"/>
    <w:rsid w:val="007B50AE"/>
    <w:rsid w:val="007B51DF"/>
    <w:rsid w:val="007B6B7C"/>
    <w:rsid w:val="007C05DD"/>
    <w:rsid w:val="007C3D18"/>
    <w:rsid w:val="007C3DB0"/>
    <w:rsid w:val="007C60BF"/>
    <w:rsid w:val="007C6A07"/>
    <w:rsid w:val="007C75A1"/>
    <w:rsid w:val="007C77A5"/>
    <w:rsid w:val="007D04E5"/>
    <w:rsid w:val="007D5901"/>
    <w:rsid w:val="007D7526"/>
    <w:rsid w:val="007E4610"/>
    <w:rsid w:val="007E4715"/>
    <w:rsid w:val="007E505B"/>
    <w:rsid w:val="007E7091"/>
    <w:rsid w:val="007F696B"/>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797"/>
    <w:rsid w:val="008A44B8"/>
    <w:rsid w:val="008A51A8"/>
    <w:rsid w:val="008A54C7"/>
    <w:rsid w:val="008A77D8"/>
    <w:rsid w:val="008B0483"/>
    <w:rsid w:val="008B120C"/>
    <w:rsid w:val="008B51A0"/>
    <w:rsid w:val="008B592A"/>
    <w:rsid w:val="008B7B5C"/>
    <w:rsid w:val="008C0C99"/>
    <w:rsid w:val="008C2017"/>
    <w:rsid w:val="008C3B3D"/>
    <w:rsid w:val="008C4958"/>
    <w:rsid w:val="008C4BAA"/>
    <w:rsid w:val="008C6AE8"/>
    <w:rsid w:val="008C7573"/>
    <w:rsid w:val="008D34F1"/>
    <w:rsid w:val="008D39D8"/>
    <w:rsid w:val="008D6D1A"/>
    <w:rsid w:val="008E065E"/>
    <w:rsid w:val="008E0927"/>
    <w:rsid w:val="008E1909"/>
    <w:rsid w:val="008F1EAB"/>
    <w:rsid w:val="008F33DC"/>
    <w:rsid w:val="008F477F"/>
    <w:rsid w:val="00901EB3"/>
    <w:rsid w:val="00902350"/>
    <w:rsid w:val="0090336B"/>
    <w:rsid w:val="009053AA"/>
    <w:rsid w:val="00906939"/>
    <w:rsid w:val="00910B7D"/>
    <w:rsid w:val="00911DFB"/>
    <w:rsid w:val="009139D9"/>
    <w:rsid w:val="00914AD8"/>
    <w:rsid w:val="00916079"/>
    <w:rsid w:val="00917CE9"/>
    <w:rsid w:val="00920BF2"/>
    <w:rsid w:val="00922010"/>
    <w:rsid w:val="00931BD9"/>
    <w:rsid w:val="00936090"/>
    <w:rsid w:val="009368F3"/>
    <w:rsid w:val="00941636"/>
    <w:rsid w:val="009422D8"/>
    <w:rsid w:val="009436E4"/>
    <w:rsid w:val="00943742"/>
    <w:rsid w:val="00944681"/>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D77"/>
    <w:rsid w:val="00980477"/>
    <w:rsid w:val="00985253"/>
    <w:rsid w:val="009853B3"/>
    <w:rsid w:val="00990630"/>
    <w:rsid w:val="00991761"/>
    <w:rsid w:val="00994DCA"/>
    <w:rsid w:val="009960EC"/>
    <w:rsid w:val="009970DD"/>
    <w:rsid w:val="009A0FBA"/>
    <w:rsid w:val="009A1601"/>
    <w:rsid w:val="009A462D"/>
    <w:rsid w:val="009A4C14"/>
    <w:rsid w:val="009A5CBA"/>
    <w:rsid w:val="009B1F30"/>
    <w:rsid w:val="009B3AC2"/>
    <w:rsid w:val="009B4DF4"/>
    <w:rsid w:val="009B564E"/>
    <w:rsid w:val="009B7E87"/>
    <w:rsid w:val="009C2BC6"/>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1DAF"/>
    <w:rsid w:val="00A3448A"/>
    <w:rsid w:val="00A36297"/>
    <w:rsid w:val="00A41E2B"/>
    <w:rsid w:val="00A45B74"/>
    <w:rsid w:val="00A52E1D"/>
    <w:rsid w:val="00A56327"/>
    <w:rsid w:val="00A61499"/>
    <w:rsid w:val="00A62A77"/>
    <w:rsid w:val="00A63483"/>
    <w:rsid w:val="00A657D7"/>
    <w:rsid w:val="00A660AC"/>
    <w:rsid w:val="00A67E6C"/>
    <w:rsid w:val="00A71B99"/>
    <w:rsid w:val="00A739D0"/>
    <w:rsid w:val="00A761D4"/>
    <w:rsid w:val="00A77EC4"/>
    <w:rsid w:val="00A83E4D"/>
    <w:rsid w:val="00A92879"/>
    <w:rsid w:val="00A9442A"/>
    <w:rsid w:val="00AA016F"/>
    <w:rsid w:val="00AA1ED6"/>
    <w:rsid w:val="00AA51D6"/>
    <w:rsid w:val="00AA55BD"/>
    <w:rsid w:val="00AB0BC8"/>
    <w:rsid w:val="00AB11CA"/>
    <w:rsid w:val="00AB14D9"/>
    <w:rsid w:val="00AB4AB8"/>
    <w:rsid w:val="00AB655E"/>
    <w:rsid w:val="00AC007F"/>
    <w:rsid w:val="00AC2ECD"/>
    <w:rsid w:val="00AC3119"/>
    <w:rsid w:val="00AC49FB"/>
    <w:rsid w:val="00AC5A10"/>
    <w:rsid w:val="00AC738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7FAA"/>
    <w:rsid w:val="00B62AAA"/>
    <w:rsid w:val="00B664C7"/>
    <w:rsid w:val="00B7176C"/>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055"/>
    <w:rsid w:val="00BD48AC"/>
    <w:rsid w:val="00BD5F1A"/>
    <w:rsid w:val="00BE1234"/>
    <w:rsid w:val="00BE2FA6"/>
    <w:rsid w:val="00BE333F"/>
    <w:rsid w:val="00BE7406"/>
    <w:rsid w:val="00BE7603"/>
    <w:rsid w:val="00BF2B05"/>
    <w:rsid w:val="00BF3279"/>
    <w:rsid w:val="00BF74C7"/>
    <w:rsid w:val="00C015F1"/>
    <w:rsid w:val="00C01F33"/>
    <w:rsid w:val="00C02CC6"/>
    <w:rsid w:val="00C040F7"/>
    <w:rsid w:val="00C041B0"/>
    <w:rsid w:val="00C044AB"/>
    <w:rsid w:val="00C05706"/>
    <w:rsid w:val="00C07377"/>
    <w:rsid w:val="00C10478"/>
    <w:rsid w:val="00C11DC7"/>
    <w:rsid w:val="00C12107"/>
    <w:rsid w:val="00C14D4B"/>
    <w:rsid w:val="00C154BB"/>
    <w:rsid w:val="00C26FAA"/>
    <w:rsid w:val="00C279B5"/>
    <w:rsid w:val="00C27C45"/>
    <w:rsid w:val="00C324BB"/>
    <w:rsid w:val="00C3719D"/>
    <w:rsid w:val="00C54995"/>
    <w:rsid w:val="00C54D41"/>
    <w:rsid w:val="00C60783"/>
    <w:rsid w:val="00C64672"/>
    <w:rsid w:val="00C70697"/>
    <w:rsid w:val="00C7152D"/>
    <w:rsid w:val="00C71D74"/>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78A"/>
    <w:rsid w:val="00CE0424"/>
    <w:rsid w:val="00CE7561"/>
    <w:rsid w:val="00CF1354"/>
    <w:rsid w:val="00CF3B1F"/>
    <w:rsid w:val="00CF3BF6"/>
    <w:rsid w:val="00CF625B"/>
    <w:rsid w:val="00CF687E"/>
    <w:rsid w:val="00D00A0B"/>
    <w:rsid w:val="00D0349B"/>
    <w:rsid w:val="00D04434"/>
    <w:rsid w:val="00D10249"/>
    <w:rsid w:val="00D115C3"/>
    <w:rsid w:val="00D11897"/>
    <w:rsid w:val="00D13135"/>
    <w:rsid w:val="00D13E4E"/>
    <w:rsid w:val="00D239A7"/>
    <w:rsid w:val="00D239C6"/>
    <w:rsid w:val="00D23F47"/>
    <w:rsid w:val="00D3005B"/>
    <w:rsid w:val="00D36E71"/>
    <w:rsid w:val="00D37D87"/>
    <w:rsid w:val="00D40B33"/>
    <w:rsid w:val="00D42CE6"/>
    <w:rsid w:val="00D4318F"/>
    <w:rsid w:val="00D438BF"/>
    <w:rsid w:val="00D440F8"/>
    <w:rsid w:val="00D546FF"/>
    <w:rsid w:val="00D55940"/>
    <w:rsid w:val="00D55AD5"/>
    <w:rsid w:val="00D576CA"/>
    <w:rsid w:val="00D60E13"/>
    <w:rsid w:val="00D61AF5"/>
    <w:rsid w:val="00D62CD5"/>
    <w:rsid w:val="00D64204"/>
    <w:rsid w:val="00D6435F"/>
    <w:rsid w:val="00D652B5"/>
    <w:rsid w:val="00D66155"/>
    <w:rsid w:val="00D708B0"/>
    <w:rsid w:val="00D70E73"/>
    <w:rsid w:val="00D77B1D"/>
    <w:rsid w:val="00D8021F"/>
    <w:rsid w:val="00D80383"/>
    <w:rsid w:val="00D80513"/>
    <w:rsid w:val="00D814C0"/>
    <w:rsid w:val="00D823C6"/>
    <w:rsid w:val="00D85FF1"/>
    <w:rsid w:val="00D86CA3"/>
    <w:rsid w:val="00D871CE"/>
    <w:rsid w:val="00D9196D"/>
    <w:rsid w:val="00D92982"/>
    <w:rsid w:val="00DA305E"/>
    <w:rsid w:val="00DA5007"/>
    <w:rsid w:val="00DA5417"/>
    <w:rsid w:val="00DA56E8"/>
    <w:rsid w:val="00DB0A9F"/>
    <w:rsid w:val="00DB377D"/>
    <w:rsid w:val="00DC2280"/>
    <w:rsid w:val="00DC2D36"/>
    <w:rsid w:val="00DC53EF"/>
    <w:rsid w:val="00DD044A"/>
    <w:rsid w:val="00DD79E4"/>
    <w:rsid w:val="00DE5608"/>
    <w:rsid w:val="00DE58D0"/>
    <w:rsid w:val="00DE654F"/>
    <w:rsid w:val="00DF0B6E"/>
    <w:rsid w:val="00DF15E0"/>
    <w:rsid w:val="00DF37A0"/>
    <w:rsid w:val="00DF5C56"/>
    <w:rsid w:val="00DF71CF"/>
    <w:rsid w:val="00E02692"/>
    <w:rsid w:val="00E110E7"/>
    <w:rsid w:val="00E11B20"/>
    <w:rsid w:val="00E14949"/>
    <w:rsid w:val="00E17FA2"/>
    <w:rsid w:val="00E21A37"/>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1A9"/>
    <w:rsid w:val="00E72EFC"/>
    <w:rsid w:val="00E758EC"/>
    <w:rsid w:val="00E8126F"/>
    <w:rsid w:val="00E8234C"/>
    <w:rsid w:val="00E83AA9"/>
    <w:rsid w:val="00E85928"/>
    <w:rsid w:val="00E87822"/>
    <w:rsid w:val="00E90395"/>
    <w:rsid w:val="00E90E49"/>
    <w:rsid w:val="00E917F9"/>
    <w:rsid w:val="00E9291C"/>
    <w:rsid w:val="00E93FFE"/>
    <w:rsid w:val="00E94F8A"/>
    <w:rsid w:val="00EA4436"/>
    <w:rsid w:val="00EA45E3"/>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6F65"/>
    <w:rsid w:val="00F071D1"/>
    <w:rsid w:val="00F07533"/>
    <w:rsid w:val="00F10629"/>
    <w:rsid w:val="00F11148"/>
    <w:rsid w:val="00F1255D"/>
    <w:rsid w:val="00F15231"/>
    <w:rsid w:val="00F157BB"/>
    <w:rsid w:val="00F15FA5"/>
    <w:rsid w:val="00F209B7"/>
    <w:rsid w:val="00F2376F"/>
    <w:rsid w:val="00F243D8"/>
    <w:rsid w:val="00F30828"/>
    <w:rsid w:val="00F313D6"/>
    <w:rsid w:val="00F40F0C"/>
    <w:rsid w:val="00F43828"/>
    <w:rsid w:val="00F4766C"/>
    <w:rsid w:val="00F507D1"/>
    <w:rsid w:val="00F519CE"/>
    <w:rsid w:val="00F51ADA"/>
    <w:rsid w:val="00F5374A"/>
    <w:rsid w:val="00F57CE9"/>
    <w:rsid w:val="00F607C5"/>
    <w:rsid w:val="00F60DEA"/>
    <w:rsid w:val="00F6302A"/>
    <w:rsid w:val="00F64C2B"/>
    <w:rsid w:val="00F651BE"/>
    <w:rsid w:val="00F67F53"/>
    <w:rsid w:val="00F703BE"/>
    <w:rsid w:val="00F71C01"/>
    <w:rsid w:val="00F71F69"/>
    <w:rsid w:val="00F72052"/>
    <w:rsid w:val="00F72B72"/>
    <w:rsid w:val="00F74BB9"/>
    <w:rsid w:val="00F75582"/>
    <w:rsid w:val="00F75A64"/>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827"/>
    <w:rsid w:val="00FC4AD0"/>
    <w:rsid w:val="00FC7429"/>
    <w:rsid w:val="00FD07F6"/>
    <w:rsid w:val="00FD0F34"/>
    <w:rsid w:val="00FD1EC8"/>
    <w:rsid w:val="00FD3FB3"/>
    <w:rsid w:val="00FD47ED"/>
    <w:rsid w:val="00FD74DB"/>
    <w:rsid w:val="00FD7660"/>
    <w:rsid w:val="00FE0655"/>
    <w:rsid w:val="00FE2365"/>
    <w:rsid w:val="00FE4C7B"/>
    <w:rsid w:val="00FE7336"/>
    <w:rsid w:val="00FE787C"/>
    <w:rsid w:val="00FF45A5"/>
    <w:rsid w:val="00FF45F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2A0FE7"/>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customStyle="1" w:styleId="Doc-text2">
    <w:name w:val="Doc-text2"/>
    <w:basedOn w:val="Normal"/>
    <w:link w:val="Doc-text2Char"/>
    <w:qFormat/>
    <w:rsid w:val="00155EE4"/>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val="sv-SE" w:eastAsia="en-GB"/>
    </w:rPr>
  </w:style>
  <w:style w:type="character" w:customStyle="1" w:styleId="Doc-text2Char">
    <w:name w:val="Doc-text2 Char"/>
    <w:link w:val="Doc-text2"/>
    <w:rsid w:val="00155EE4"/>
    <w:rPr>
      <w:rFonts w:asciiTheme="minorHAnsi" w:eastAsia="MS Mincho" w:hAnsiTheme="minorHAnsi" w:cstheme="minorBidi"/>
      <w:sz w:val="22"/>
      <w:szCs w:val="24"/>
      <w:lang w:val="sv-SE" w:eastAsia="en-GB"/>
    </w:rPr>
  </w:style>
  <w:style w:type="paragraph" w:styleId="ListParagraph">
    <w:name w:val="List Paragraph"/>
    <w:basedOn w:val="Normal"/>
    <w:uiPriority w:val="34"/>
    <w:qFormat/>
    <w:rsid w:val="00786D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73039">
      <w:bodyDiv w:val="1"/>
      <w:marLeft w:val="0"/>
      <w:marRight w:val="0"/>
      <w:marTop w:val="0"/>
      <w:marBottom w:val="0"/>
      <w:divBdr>
        <w:top w:val="none" w:sz="0" w:space="0" w:color="auto"/>
        <w:left w:val="none" w:sz="0" w:space="0" w:color="auto"/>
        <w:bottom w:val="none" w:sz="0" w:space="0" w:color="auto"/>
        <w:right w:val="none" w:sz="0" w:space="0" w:color="auto"/>
      </w:divBdr>
    </w:div>
    <w:div w:id="330257601">
      <w:bodyDiv w:val="1"/>
      <w:marLeft w:val="0"/>
      <w:marRight w:val="0"/>
      <w:marTop w:val="0"/>
      <w:marBottom w:val="0"/>
      <w:divBdr>
        <w:top w:val="none" w:sz="0" w:space="0" w:color="auto"/>
        <w:left w:val="none" w:sz="0" w:space="0" w:color="auto"/>
        <w:bottom w:val="none" w:sz="0" w:space="0" w:color="auto"/>
        <w:right w:val="none" w:sz="0" w:space="0" w:color="auto"/>
      </w:divBdr>
    </w:div>
    <w:div w:id="376975849">
      <w:bodyDiv w:val="1"/>
      <w:marLeft w:val="0"/>
      <w:marRight w:val="0"/>
      <w:marTop w:val="0"/>
      <w:marBottom w:val="0"/>
      <w:divBdr>
        <w:top w:val="none" w:sz="0" w:space="0" w:color="auto"/>
        <w:left w:val="none" w:sz="0" w:space="0" w:color="auto"/>
        <w:bottom w:val="none" w:sz="0" w:space="0" w:color="auto"/>
        <w:right w:val="none" w:sz="0" w:space="0" w:color="auto"/>
      </w:divBdr>
    </w:div>
    <w:div w:id="520164827">
      <w:bodyDiv w:val="1"/>
      <w:marLeft w:val="0"/>
      <w:marRight w:val="0"/>
      <w:marTop w:val="0"/>
      <w:marBottom w:val="0"/>
      <w:divBdr>
        <w:top w:val="none" w:sz="0" w:space="0" w:color="auto"/>
        <w:left w:val="none" w:sz="0" w:space="0" w:color="auto"/>
        <w:bottom w:val="none" w:sz="0" w:space="0" w:color="auto"/>
        <w:right w:val="none" w:sz="0" w:space="0" w:color="auto"/>
      </w:divBdr>
    </w:div>
    <w:div w:id="723409781">
      <w:bodyDiv w:val="1"/>
      <w:marLeft w:val="0"/>
      <w:marRight w:val="0"/>
      <w:marTop w:val="0"/>
      <w:marBottom w:val="0"/>
      <w:divBdr>
        <w:top w:val="none" w:sz="0" w:space="0" w:color="auto"/>
        <w:left w:val="none" w:sz="0" w:space="0" w:color="auto"/>
        <w:bottom w:val="none" w:sz="0" w:space="0" w:color="auto"/>
        <w:right w:val="none" w:sz="0" w:space="0" w:color="auto"/>
      </w:divBdr>
    </w:div>
    <w:div w:id="898519352">
      <w:bodyDiv w:val="1"/>
      <w:marLeft w:val="0"/>
      <w:marRight w:val="0"/>
      <w:marTop w:val="0"/>
      <w:marBottom w:val="0"/>
      <w:divBdr>
        <w:top w:val="none" w:sz="0" w:space="0" w:color="auto"/>
        <w:left w:val="none" w:sz="0" w:space="0" w:color="auto"/>
        <w:bottom w:val="none" w:sz="0" w:space="0" w:color="auto"/>
        <w:right w:val="none" w:sz="0" w:space="0" w:color="auto"/>
      </w:divBdr>
    </w:div>
    <w:div w:id="1228538361">
      <w:bodyDiv w:val="1"/>
      <w:marLeft w:val="0"/>
      <w:marRight w:val="0"/>
      <w:marTop w:val="0"/>
      <w:marBottom w:val="0"/>
      <w:divBdr>
        <w:top w:val="none" w:sz="0" w:space="0" w:color="auto"/>
        <w:left w:val="none" w:sz="0" w:space="0" w:color="auto"/>
        <w:bottom w:val="none" w:sz="0" w:space="0" w:color="auto"/>
        <w:right w:val="none" w:sz="0" w:space="0" w:color="auto"/>
      </w:divBdr>
    </w:div>
    <w:div w:id="1332489017">
      <w:bodyDiv w:val="1"/>
      <w:marLeft w:val="0"/>
      <w:marRight w:val="0"/>
      <w:marTop w:val="0"/>
      <w:marBottom w:val="0"/>
      <w:divBdr>
        <w:top w:val="none" w:sz="0" w:space="0" w:color="auto"/>
        <w:left w:val="none" w:sz="0" w:space="0" w:color="auto"/>
        <w:bottom w:val="none" w:sz="0" w:space="0" w:color="auto"/>
        <w:right w:val="none" w:sz="0" w:space="0" w:color="auto"/>
      </w:divBdr>
    </w:div>
    <w:div w:id="1368676711">
      <w:bodyDiv w:val="1"/>
      <w:marLeft w:val="0"/>
      <w:marRight w:val="0"/>
      <w:marTop w:val="0"/>
      <w:marBottom w:val="0"/>
      <w:divBdr>
        <w:top w:val="none" w:sz="0" w:space="0" w:color="auto"/>
        <w:left w:val="none" w:sz="0" w:space="0" w:color="auto"/>
        <w:bottom w:val="none" w:sz="0" w:space="0" w:color="auto"/>
        <w:right w:val="none" w:sz="0" w:space="0" w:color="auto"/>
      </w:divBdr>
    </w:div>
    <w:div w:id="1462914988">
      <w:bodyDiv w:val="1"/>
      <w:marLeft w:val="0"/>
      <w:marRight w:val="0"/>
      <w:marTop w:val="0"/>
      <w:marBottom w:val="0"/>
      <w:divBdr>
        <w:top w:val="none" w:sz="0" w:space="0" w:color="auto"/>
        <w:left w:val="none" w:sz="0" w:space="0" w:color="auto"/>
        <w:bottom w:val="none" w:sz="0" w:space="0" w:color="auto"/>
        <w:right w:val="none" w:sz="0" w:space="0" w:color="auto"/>
      </w:divBdr>
    </w:div>
    <w:div w:id="1554998739">
      <w:bodyDiv w:val="1"/>
      <w:marLeft w:val="0"/>
      <w:marRight w:val="0"/>
      <w:marTop w:val="0"/>
      <w:marBottom w:val="0"/>
      <w:divBdr>
        <w:top w:val="none" w:sz="0" w:space="0" w:color="auto"/>
        <w:left w:val="none" w:sz="0" w:space="0" w:color="auto"/>
        <w:bottom w:val="none" w:sz="0" w:space="0" w:color="auto"/>
        <w:right w:val="none" w:sz="0" w:space="0" w:color="auto"/>
      </w:divBdr>
    </w:div>
    <w:div w:id="1775898447">
      <w:bodyDiv w:val="1"/>
      <w:marLeft w:val="0"/>
      <w:marRight w:val="0"/>
      <w:marTop w:val="0"/>
      <w:marBottom w:val="0"/>
      <w:divBdr>
        <w:top w:val="none" w:sz="0" w:space="0" w:color="auto"/>
        <w:left w:val="none" w:sz="0" w:space="0" w:color="auto"/>
        <w:bottom w:val="none" w:sz="0" w:space="0" w:color="auto"/>
        <w:right w:val="none" w:sz="0" w:space="0" w:color="auto"/>
      </w:divBdr>
    </w:div>
    <w:div w:id="205692599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747B-9BDA-E54E-9834-1CABD34B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110</TotalTime>
  <Pages>5</Pages>
  <Words>1905</Words>
  <Characters>10862</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49</cp:revision>
  <cp:lastPrinted>2017-02-03T17:25:00Z</cp:lastPrinted>
  <dcterms:created xsi:type="dcterms:W3CDTF">2017-01-09T12:40:00Z</dcterms:created>
  <dcterms:modified xsi:type="dcterms:W3CDTF">2017-02-03T20:55:00Z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2017-02-02T23:00:00Z</vt:filetime>
  </property>
</Properties>
</file>